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theme/themeOverride10.xml" ContentType="application/vnd.openxmlformats-officedocument.themeOverride+xml"/>
  <Override PartName="/word/charts/chart16.xml" ContentType="application/vnd.openxmlformats-officedocument.drawingml.chart+xml"/>
  <Override PartName="/word/theme/themeOverride11.xml" ContentType="application/vnd.openxmlformats-officedocument.themeOverride+xml"/>
  <Override PartName="/word/charts/chart1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4"/>
        <w:gridCol w:w="3006"/>
      </w:tblGrid>
      <w:tr w:rsidR="00ED6A68" w:rsidRPr="00C54EA3" w14:paraId="70C41906" w14:textId="77777777" w:rsidTr="00FD3D32">
        <w:trPr>
          <w:trHeight w:val="557"/>
        </w:trPr>
        <w:tc>
          <w:tcPr>
            <w:tcW w:w="5000" w:type="pct"/>
            <w:gridSpan w:val="2"/>
            <w:shd w:val="clear" w:color="auto" w:fill="auto"/>
            <w:vAlign w:val="center"/>
          </w:tcPr>
          <w:p w14:paraId="768BEB05" w14:textId="4C8CDE90" w:rsidR="00ED6A68" w:rsidRPr="00C54EA3" w:rsidRDefault="006B6A94" w:rsidP="00C54EA3">
            <w:pPr>
              <w:jc w:val="both"/>
              <w:rPr>
                <w:b/>
              </w:rPr>
            </w:pPr>
            <w:r w:rsidRPr="00C54EA3">
              <w:rPr>
                <w:b/>
                <w:lang w:eastAsia="fr-FR"/>
              </w:rPr>
              <w:t>European Semester 201</w:t>
            </w:r>
            <w:r w:rsidR="00023B5A" w:rsidRPr="00C54EA3">
              <w:rPr>
                <w:b/>
                <w:lang w:eastAsia="fr-FR"/>
              </w:rPr>
              <w:t>7</w:t>
            </w:r>
            <w:r w:rsidRPr="00C54EA3">
              <w:rPr>
                <w:b/>
                <w:lang w:eastAsia="fr-FR"/>
              </w:rPr>
              <w:t>/201</w:t>
            </w:r>
            <w:r w:rsidR="00023B5A" w:rsidRPr="00C54EA3">
              <w:rPr>
                <w:b/>
                <w:lang w:eastAsia="fr-FR"/>
              </w:rPr>
              <w:t>8</w:t>
            </w:r>
            <w:r w:rsidR="0065380E" w:rsidRPr="00C54EA3">
              <w:rPr>
                <w:b/>
                <w:lang w:eastAsia="fr-FR"/>
              </w:rPr>
              <w:t xml:space="preserve"> country fiche on disability</w:t>
            </w:r>
          </w:p>
        </w:tc>
      </w:tr>
      <w:tr w:rsidR="00ED6A68" w:rsidRPr="00C54EA3" w14:paraId="75CCF83C" w14:textId="77777777" w:rsidTr="00FD3D32">
        <w:trPr>
          <w:trHeight w:val="557"/>
        </w:trPr>
        <w:tc>
          <w:tcPr>
            <w:tcW w:w="3341" w:type="pct"/>
            <w:shd w:val="clear" w:color="auto" w:fill="auto"/>
          </w:tcPr>
          <w:p w14:paraId="2E00DEE9" w14:textId="77777777" w:rsidR="00ED6A68" w:rsidRPr="00C54EA3" w:rsidRDefault="005B0952" w:rsidP="00C54EA3">
            <w:pPr>
              <w:jc w:val="both"/>
              <w:rPr>
                <w:b/>
              </w:rPr>
            </w:pPr>
            <w:r w:rsidRPr="00C54EA3">
              <w:rPr>
                <w:b/>
              </w:rPr>
              <w:t>Romania</w:t>
            </w:r>
          </w:p>
        </w:tc>
        <w:tc>
          <w:tcPr>
            <w:tcW w:w="1659" w:type="pct"/>
            <w:vMerge w:val="restart"/>
            <w:shd w:val="clear" w:color="auto" w:fill="auto"/>
            <w:vAlign w:val="center"/>
          </w:tcPr>
          <w:p w14:paraId="7274617D" w14:textId="77777777" w:rsidR="00ED6A68" w:rsidRPr="00C54EA3" w:rsidRDefault="004F2329" w:rsidP="00C54EA3">
            <w:pPr>
              <w:jc w:val="both"/>
            </w:pPr>
            <w:r w:rsidRPr="00C54EA3">
              <w:rPr>
                <w:noProof/>
                <w:color w:val="000000"/>
                <w:lang w:eastAsia="en-GB"/>
              </w:rPr>
              <w:drawing>
                <wp:inline distT="0" distB="0" distL="0" distR="0" wp14:anchorId="2FA413E4" wp14:editId="449BD2B7">
                  <wp:extent cx="1764000" cy="1713600"/>
                  <wp:effectExtent l="0" t="0" r="8255" b="1270"/>
                  <wp:docPr id="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4000" cy="1713600"/>
                          </a:xfrm>
                          <a:prstGeom prst="rect">
                            <a:avLst/>
                          </a:prstGeom>
                          <a:noFill/>
                          <a:ln>
                            <a:noFill/>
                          </a:ln>
                        </pic:spPr>
                      </pic:pic>
                    </a:graphicData>
                  </a:graphic>
                </wp:inline>
              </w:drawing>
            </w:r>
          </w:p>
        </w:tc>
      </w:tr>
      <w:tr w:rsidR="00ED6A68" w:rsidRPr="00C54EA3" w14:paraId="7F3A67F5" w14:textId="77777777" w:rsidTr="00FD3D32">
        <w:trPr>
          <w:trHeight w:val="1274"/>
        </w:trPr>
        <w:tc>
          <w:tcPr>
            <w:tcW w:w="3341" w:type="pct"/>
            <w:shd w:val="clear" w:color="auto" w:fill="auto"/>
          </w:tcPr>
          <w:p w14:paraId="535C1181" w14:textId="77777777" w:rsidR="006B6A94" w:rsidRPr="00C54EA3" w:rsidRDefault="00ED6A68" w:rsidP="00C54EA3">
            <w:pPr>
              <w:jc w:val="both"/>
            </w:pPr>
            <w:r w:rsidRPr="00C54EA3">
              <w:t xml:space="preserve">Report prepared by: </w:t>
            </w:r>
          </w:p>
          <w:p w14:paraId="0E185782" w14:textId="77777777" w:rsidR="006B6A94" w:rsidRPr="00C54EA3" w:rsidRDefault="006B6A94" w:rsidP="00C54EA3">
            <w:pPr>
              <w:jc w:val="both"/>
            </w:pPr>
          </w:p>
          <w:p w14:paraId="70F61AC2" w14:textId="590B89F4" w:rsidR="00023B5A" w:rsidRPr="00C54EA3" w:rsidRDefault="00023B5A" w:rsidP="00C54EA3">
            <w:pPr>
              <w:jc w:val="both"/>
            </w:pPr>
            <w:proofErr w:type="spellStart"/>
            <w:r w:rsidRPr="00C54EA3">
              <w:t>Oana</w:t>
            </w:r>
            <w:proofErr w:type="spellEnd"/>
            <w:r w:rsidRPr="00C54EA3">
              <w:t xml:space="preserve"> </w:t>
            </w:r>
            <w:proofErr w:type="spellStart"/>
            <w:r w:rsidRPr="00C54EA3">
              <w:t>Stanca</w:t>
            </w:r>
            <w:proofErr w:type="spellEnd"/>
          </w:p>
        </w:tc>
        <w:tc>
          <w:tcPr>
            <w:tcW w:w="1659" w:type="pct"/>
            <w:vMerge/>
            <w:shd w:val="clear" w:color="auto" w:fill="auto"/>
          </w:tcPr>
          <w:p w14:paraId="2C6D7BFD" w14:textId="77777777" w:rsidR="00ED6A68" w:rsidRPr="00C54EA3" w:rsidRDefault="00ED6A68" w:rsidP="00C54EA3">
            <w:pPr>
              <w:jc w:val="both"/>
              <w:rPr>
                <w:noProof/>
                <w:color w:val="000000"/>
                <w:lang w:eastAsia="en-GB"/>
              </w:rPr>
            </w:pPr>
          </w:p>
        </w:tc>
      </w:tr>
      <w:tr w:rsidR="00ED6A68" w:rsidRPr="00C54EA3" w14:paraId="35501BF8" w14:textId="77777777" w:rsidTr="00FD3D32">
        <w:trPr>
          <w:trHeight w:val="940"/>
        </w:trPr>
        <w:tc>
          <w:tcPr>
            <w:tcW w:w="3341" w:type="pct"/>
            <w:shd w:val="clear" w:color="auto" w:fill="auto"/>
          </w:tcPr>
          <w:p w14:paraId="7EB3140B" w14:textId="77777777" w:rsidR="00ED6A68" w:rsidRPr="00C54EA3" w:rsidRDefault="00ED6A68" w:rsidP="00C54EA3">
            <w:pPr>
              <w:jc w:val="both"/>
            </w:pPr>
            <w:r w:rsidRPr="00C54EA3">
              <w:t>With comparative data provided by the ANED core team</w:t>
            </w:r>
          </w:p>
        </w:tc>
        <w:tc>
          <w:tcPr>
            <w:tcW w:w="1659" w:type="pct"/>
            <w:vMerge/>
            <w:shd w:val="clear" w:color="auto" w:fill="auto"/>
          </w:tcPr>
          <w:p w14:paraId="3714D585" w14:textId="77777777" w:rsidR="00ED6A68" w:rsidRPr="00C54EA3" w:rsidRDefault="00ED6A68" w:rsidP="00C54EA3">
            <w:pPr>
              <w:jc w:val="both"/>
              <w:rPr>
                <w:noProof/>
                <w:color w:val="000000"/>
                <w:lang w:eastAsia="en-GB"/>
              </w:rPr>
            </w:pPr>
          </w:p>
        </w:tc>
      </w:tr>
    </w:tbl>
    <w:p w14:paraId="5D4DCBF7" w14:textId="77777777" w:rsidR="00ED6A68" w:rsidRPr="00C54EA3" w:rsidRDefault="00ED6A68" w:rsidP="00C54EA3">
      <w:pPr>
        <w:jc w:val="both"/>
      </w:pPr>
    </w:p>
    <w:p w14:paraId="51C0EF69" w14:textId="43125761" w:rsidR="00AF323E" w:rsidRPr="00C54EA3" w:rsidRDefault="00AF323E" w:rsidP="00C54EA3">
      <w:pPr>
        <w:pStyle w:val="BodyText"/>
        <w:spacing w:after="0"/>
        <w:jc w:val="both"/>
      </w:pPr>
      <w:r w:rsidRPr="00C54EA3">
        <w:t xml:space="preserve">The </w:t>
      </w:r>
      <w:hyperlink r:id="rId9" w:history="1">
        <w:r w:rsidRPr="00C54EA3">
          <w:rPr>
            <w:rStyle w:val="Hyperlink"/>
          </w:rPr>
          <w:t>Academic Network of European Disability experts</w:t>
        </w:r>
      </w:hyperlink>
      <w:r w:rsidRPr="00C54EA3">
        <w:t xml:space="preserve"> (ANED) was established by the European Commission in 2008 to provide scientific support and advice for its disability policy Unit. </w:t>
      </w:r>
      <w:proofErr w:type="gramStart"/>
      <w:r w:rsidRPr="00C54EA3">
        <w:t>In particular, the</w:t>
      </w:r>
      <w:proofErr w:type="gramEnd"/>
      <w:r w:rsidRPr="00C54EA3">
        <w:t xml:space="preserve"> activities of the Network support the development of the </w:t>
      </w:r>
      <w:r w:rsidR="00534975" w:rsidRPr="00C54EA3">
        <w:t>European Disability Strategy</w:t>
      </w:r>
      <w:r w:rsidRPr="00C54EA3">
        <w:t xml:space="preserve"> </w:t>
      </w:r>
      <w:r w:rsidR="00534975" w:rsidRPr="00C54EA3">
        <w:t xml:space="preserve">2010-2020 </w:t>
      </w:r>
      <w:r w:rsidRPr="00C54EA3">
        <w:t xml:space="preserve">and practical implementation of the United Nations Convention on the Rights of </w:t>
      </w:r>
      <w:r w:rsidR="007C49C2" w:rsidRPr="00C54EA3">
        <w:t>Persons with Disabilities</w:t>
      </w:r>
      <w:r w:rsidR="00534975" w:rsidRPr="00C54EA3">
        <w:t xml:space="preserve"> in the EU</w:t>
      </w:r>
      <w:r w:rsidRPr="00C54EA3">
        <w:t>.</w:t>
      </w:r>
    </w:p>
    <w:p w14:paraId="71AD6F80" w14:textId="77777777" w:rsidR="00BA1AD1" w:rsidRPr="00C54EA3" w:rsidRDefault="00BA1AD1" w:rsidP="00C54EA3">
      <w:pPr>
        <w:pStyle w:val="BodyText"/>
        <w:spacing w:after="0"/>
        <w:jc w:val="both"/>
        <w:rPr>
          <w:lang w:eastAsia="en-GB"/>
        </w:rPr>
      </w:pPr>
    </w:p>
    <w:p w14:paraId="259B71F8" w14:textId="77777777" w:rsidR="00AF323E" w:rsidRPr="00C54EA3" w:rsidRDefault="00AF323E" w:rsidP="00C54EA3">
      <w:pPr>
        <w:pStyle w:val="BodyText"/>
        <w:spacing w:after="0"/>
        <w:jc w:val="both"/>
      </w:pPr>
      <w:r w:rsidRPr="00C54EA3">
        <w:t xml:space="preserve">This country report has been prepared as input for the </w:t>
      </w:r>
      <w:r w:rsidR="00534975" w:rsidRPr="00C54EA3">
        <w:t>E</w:t>
      </w:r>
      <w:r w:rsidR="00526839" w:rsidRPr="00C54EA3">
        <w:t>uropean Semester</w:t>
      </w:r>
      <w:r w:rsidR="00C75AFD" w:rsidRPr="00C54EA3">
        <w:t xml:space="preserve"> from a disability perspective</w:t>
      </w:r>
      <w:r w:rsidRPr="00C54EA3">
        <w:t xml:space="preserve">. </w:t>
      </w:r>
    </w:p>
    <w:p w14:paraId="5770034B" w14:textId="77777777" w:rsidR="00BA1AD1" w:rsidRPr="00C54EA3" w:rsidRDefault="00BA1AD1" w:rsidP="00C54EA3">
      <w:pPr>
        <w:pStyle w:val="BodyText"/>
        <w:spacing w:after="0"/>
        <w:jc w:val="both"/>
      </w:pPr>
    </w:p>
    <w:p w14:paraId="7F3B4A08" w14:textId="77777777" w:rsidR="0065380E" w:rsidRPr="00C54EA3" w:rsidRDefault="00480DCE" w:rsidP="00C54EA3">
      <w:pPr>
        <w:pStyle w:val="BodyText"/>
        <w:spacing w:after="0"/>
        <w:jc w:val="both"/>
        <w:rPr>
          <w:i/>
        </w:rPr>
      </w:pPr>
      <w:r w:rsidRPr="00C54EA3">
        <w:rPr>
          <w:i/>
        </w:rPr>
        <w:t>Note</w:t>
      </w:r>
      <w:r w:rsidR="00F46384" w:rsidRPr="00C54EA3">
        <w:rPr>
          <w:i/>
        </w:rPr>
        <w:t>:</w:t>
      </w:r>
    </w:p>
    <w:p w14:paraId="1ED21B2E" w14:textId="77777777" w:rsidR="00940F53" w:rsidRPr="00C54EA3" w:rsidRDefault="00940F53" w:rsidP="00C54EA3">
      <w:pPr>
        <w:pStyle w:val="BodyText"/>
        <w:jc w:val="both"/>
        <w:rPr>
          <w:i/>
        </w:rPr>
      </w:pPr>
      <w:r w:rsidRPr="00C54EA3">
        <w:rPr>
          <w:i/>
        </w:rPr>
        <w:t>The statistics provided in October 2017 are based on the EU-SILC 2015. This is the most recent microdata available to researchers for analysis from Eurostat. This report may be updated as new data becomes available.</w:t>
      </w:r>
    </w:p>
    <w:p w14:paraId="69544370" w14:textId="77777777" w:rsidR="0065380E" w:rsidRPr="00C54EA3" w:rsidRDefault="0065380E" w:rsidP="00C54EA3">
      <w:pPr>
        <w:jc w:val="both"/>
      </w:pPr>
    </w:p>
    <w:p w14:paraId="60AC0D88" w14:textId="77777777" w:rsidR="0065380E" w:rsidRPr="00C54EA3" w:rsidRDefault="0065380E" w:rsidP="00C54EA3">
      <w:pPr>
        <w:jc w:val="both"/>
      </w:pPr>
    </w:p>
    <w:p w14:paraId="438FFF2F" w14:textId="77777777" w:rsidR="0065380E" w:rsidRPr="00C54EA3" w:rsidRDefault="0065380E" w:rsidP="00C54EA3">
      <w:pPr>
        <w:jc w:val="both"/>
      </w:pPr>
    </w:p>
    <w:p w14:paraId="063D93AE" w14:textId="77777777" w:rsidR="003E7EC1" w:rsidRPr="00C54EA3" w:rsidRDefault="0044204E" w:rsidP="00C54EA3">
      <w:pPr>
        <w:jc w:val="both"/>
      </w:pPr>
      <w:r w:rsidRPr="00C54EA3">
        <w:rPr>
          <w:noProof/>
          <w:lang w:eastAsia="en-GB"/>
        </w:rPr>
        <w:drawing>
          <wp:anchor distT="0" distB="0" distL="114300" distR="114300" simplePos="0" relativeHeight="251658240" behindDoc="0" locked="0" layoutInCell="1" allowOverlap="1" wp14:anchorId="28EF9BDC" wp14:editId="0B3B178C">
            <wp:simplePos x="0" y="0"/>
            <wp:positionH relativeFrom="column">
              <wp:posOffset>179705</wp:posOffset>
            </wp:positionH>
            <wp:positionV relativeFrom="paragraph">
              <wp:posOffset>93980</wp:posOffset>
            </wp:positionV>
            <wp:extent cx="910590" cy="5143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059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EA3">
        <w:tab/>
      </w:r>
      <w:r w:rsidRPr="00C54EA3">
        <w:tab/>
      </w:r>
      <w:r w:rsidRPr="00C54EA3">
        <w:tab/>
      </w:r>
      <w:r w:rsidRPr="00C54EA3">
        <w:tab/>
      </w:r>
      <w:r w:rsidRPr="00C54EA3">
        <w:tab/>
      </w:r>
      <w:r w:rsidRPr="00C54EA3">
        <w:tab/>
      </w:r>
      <w:r w:rsidR="0065380E" w:rsidRPr="00C54EA3">
        <w:tab/>
        <w:t xml:space="preserve"> </w:t>
      </w:r>
      <w:r w:rsidR="004F2329" w:rsidRPr="00C54EA3">
        <w:rPr>
          <w:noProof/>
          <w:lang w:eastAsia="en-GB"/>
        </w:rPr>
        <w:drawing>
          <wp:inline distT="0" distB="0" distL="0" distR="0" wp14:anchorId="75031A6A" wp14:editId="13195C6E">
            <wp:extent cx="1431925" cy="605790"/>
            <wp:effectExtent l="0" t="0" r="0" b="381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925" cy="605790"/>
                    </a:xfrm>
                    <a:prstGeom prst="rect">
                      <a:avLst/>
                    </a:prstGeom>
                    <a:noFill/>
                    <a:ln>
                      <a:noFill/>
                    </a:ln>
                  </pic:spPr>
                </pic:pic>
              </a:graphicData>
            </a:graphic>
          </wp:inline>
        </w:drawing>
      </w:r>
    </w:p>
    <w:p w14:paraId="03573961" w14:textId="77777777" w:rsidR="00BA1AD1" w:rsidRPr="00C54EA3" w:rsidRDefault="003E7EC1" w:rsidP="00C54EA3">
      <w:pPr>
        <w:spacing w:line="276" w:lineRule="auto"/>
        <w:jc w:val="both"/>
      </w:pPr>
      <w:r w:rsidRPr="00C54EA3">
        <w:br w:type="page"/>
      </w:r>
      <w:r w:rsidR="006B6A94" w:rsidRPr="00C54EA3">
        <w:rPr>
          <w:b/>
        </w:rPr>
        <w:lastRenderedPageBreak/>
        <w:t>C</w:t>
      </w:r>
      <w:r w:rsidR="00BA1AD1" w:rsidRPr="00C54EA3">
        <w:rPr>
          <w:b/>
        </w:rPr>
        <w:t>ontents</w:t>
      </w:r>
    </w:p>
    <w:p w14:paraId="4440F66F" w14:textId="77777777" w:rsidR="00A14F67" w:rsidRPr="00C54EA3" w:rsidRDefault="00A14F67" w:rsidP="00C54EA3">
      <w:pPr>
        <w:jc w:val="both"/>
      </w:pPr>
    </w:p>
    <w:p w14:paraId="04F1CCD4" w14:textId="382C179D" w:rsidR="00B64B3C" w:rsidRDefault="00CF028D">
      <w:pPr>
        <w:pStyle w:val="TOC1"/>
        <w:tabs>
          <w:tab w:val="right" w:leader="dot" w:pos="9060"/>
        </w:tabs>
        <w:rPr>
          <w:rFonts w:asciiTheme="minorHAnsi" w:eastAsiaTheme="minorEastAsia" w:hAnsiTheme="minorHAnsi" w:cstheme="minorBidi"/>
          <w:noProof/>
          <w:sz w:val="22"/>
          <w:szCs w:val="22"/>
          <w:lang w:val="nl-NL" w:eastAsia="nl-NL"/>
        </w:rPr>
      </w:pPr>
      <w:r w:rsidRPr="00C54EA3">
        <w:fldChar w:fldCharType="begin"/>
      </w:r>
      <w:r w:rsidRPr="00C54EA3">
        <w:instrText xml:space="preserve"> TOC \o "1-3" \h \z \u </w:instrText>
      </w:r>
      <w:r w:rsidRPr="00C54EA3">
        <w:fldChar w:fldCharType="separate"/>
      </w:r>
      <w:hyperlink w:anchor="_Toc508203247" w:history="1">
        <w:r w:rsidR="00B64B3C" w:rsidRPr="00216D9B">
          <w:rPr>
            <w:rStyle w:val="Hyperlink"/>
            <w:noProof/>
          </w:rPr>
          <w:t>1</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Summary of the overall situation and challenges</w:t>
        </w:r>
        <w:r w:rsidR="00B64B3C">
          <w:rPr>
            <w:noProof/>
            <w:webHidden/>
          </w:rPr>
          <w:tab/>
        </w:r>
        <w:r w:rsidR="00B64B3C">
          <w:rPr>
            <w:noProof/>
            <w:webHidden/>
          </w:rPr>
          <w:fldChar w:fldCharType="begin"/>
        </w:r>
        <w:r w:rsidR="00B64B3C">
          <w:rPr>
            <w:noProof/>
            <w:webHidden/>
          </w:rPr>
          <w:instrText xml:space="preserve"> PAGEREF _Toc508203247 \h </w:instrText>
        </w:r>
        <w:r w:rsidR="00B64B3C">
          <w:rPr>
            <w:noProof/>
            <w:webHidden/>
          </w:rPr>
        </w:r>
        <w:r w:rsidR="00B64B3C">
          <w:rPr>
            <w:noProof/>
            <w:webHidden/>
          </w:rPr>
          <w:fldChar w:fldCharType="separate"/>
        </w:r>
        <w:r w:rsidR="00B64B3C">
          <w:rPr>
            <w:noProof/>
            <w:webHidden/>
          </w:rPr>
          <w:t>2</w:t>
        </w:r>
        <w:r w:rsidR="00B64B3C">
          <w:rPr>
            <w:noProof/>
            <w:webHidden/>
          </w:rPr>
          <w:fldChar w:fldCharType="end"/>
        </w:r>
      </w:hyperlink>
    </w:p>
    <w:p w14:paraId="4B4B8B20" w14:textId="4DC1B864" w:rsidR="00B64B3C" w:rsidRDefault="00905165">
      <w:pPr>
        <w:pStyle w:val="TOC1"/>
        <w:tabs>
          <w:tab w:val="right" w:leader="dot" w:pos="9060"/>
        </w:tabs>
        <w:rPr>
          <w:rFonts w:asciiTheme="minorHAnsi" w:eastAsiaTheme="minorEastAsia" w:hAnsiTheme="minorHAnsi" w:cstheme="minorBidi"/>
          <w:noProof/>
          <w:sz w:val="22"/>
          <w:szCs w:val="22"/>
          <w:lang w:val="nl-NL" w:eastAsia="nl-NL"/>
        </w:rPr>
      </w:pPr>
      <w:hyperlink w:anchor="_Toc508203248" w:history="1">
        <w:r w:rsidR="00B64B3C" w:rsidRPr="00216D9B">
          <w:rPr>
            <w:rStyle w:val="Hyperlink"/>
            <w:noProof/>
          </w:rPr>
          <w:t>2</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Assessment of the situation of disabled people with respect to the Europe 2020 headline targets</w:t>
        </w:r>
        <w:r w:rsidR="00B64B3C">
          <w:rPr>
            <w:noProof/>
            <w:webHidden/>
          </w:rPr>
          <w:tab/>
        </w:r>
        <w:r w:rsidR="00B64B3C">
          <w:rPr>
            <w:noProof/>
            <w:webHidden/>
          </w:rPr>
          <w:fldChar w:fldCharType="begin"/>
        </w:r>
        <w:r w:rsidR="00B64B3C">
          <w:rPr>
            <w:noProof/>
            <w:webHidden/>
          </w:rPr>
          <w:instrText xml:space="preserve"> PAGEREF _Toc508203248 \h </w:instrText>
        </w:r>
        <w:r w:rsidR="00B64B3C">
          <w:rPr>
            <w:noProof/>
            <w:webHidden/>
          </w:rPr>
        </w:r>
        <w:r w:rsidR="00B64B3C">
          <w:rPr>
            <w:noProof/>
            <w:webHidden/>
          </w:rPr>
          <w:fldChar w:fldCharType="separate"/>
        </w:r>
        <w:r w:rsidR="00B64B3C">
          <w:rPr>
            <w:noProof/>
            <w:webHidden/>
          </w:rPr>
          <w:t>3</w:t>
        </w:r>
        <w:r w:rsidR="00B64B3C">
          <w:rPr>
            <w:noProof/>
            <w:webHidden/>
          </w:rPr>
          <w:fldChar w:fldCharType="end"/>
        </w:r>
      </w:hyperlink>
    </w:p>
    <w:p w14:paraId="2C25279D" w14:textId="6ABDAD2A"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49" w:history="1">
        <w:r w:rsidR="00B64B3C" w:rsidRPr="00216D9B">
          <w:rPr>
            <w:rStyle w:val="Hyperlink"/>
            <w:noProof/>
          </w:rPr>
          <w:t>2.1</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Strategic targets</w:t>
        </w:r>
        <w:r w:rsidR="00B64B3C">
          <w:rPr>
            <w:noProof/>
            <w:webHidden/>
          </w:rPr>
          <w:tab/>
        </w:r>
        <w:r w:rsidR="00B64B3C">
          <w:rPr>
            <w:noProof/>
            <w:webHidden/>
          </w:rPr>
          <w:fldChar w:fldCharType="begin"/>
        </w:r>
        <w:r w:rsidR="00B64B3C">
          <w:rPr>
            <w:noProof/>
            <w:webHidden/>
          </w:rPr>
          <w:instrText xml:space="preserve"> PAGEREF _Toc508203249 \h </w:instrText>
        </w:r>
        <w:r w:rsidR="00B64B3C">
          <w:rPr>
            <w:noProof/>
            <w:webHidden/>
          </w:rPr>
        </w:r>
        <w:r w:rsidR="00B64B3C">
          <w:rPr>
            <w:noProof/>
            <w:webHidden/>
          </w:rPr>
          <w:fldChar w:fldCharType="separate"/>
        </w:r>
        <w:r w:rsidR="00B64B3C">
          <w:rPr>
            <w:noProof/>
            <w:webHidden/>
          </w:rPr>
          <w:t>3</w:t>
        </w:r>
        <w:r w:rsidR="00B64B3C">
          <w:rPr>
            <w:noProof/>
            <w:webHidden/>
          </w:rPr>
          <w:fldChar w:fldCharType="end"/>
        </w:r>
      </w:hyperlink>
    </w:p>
    <w:p w14:paraId="286D7579" w14:textId="00584BE2" w:rsidR="00B64B3C" w:rsidRDefault="00905165">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508203250" w:history="1">
        <w:r w:rsidR="00B64B3C" w:rsidRPr="00216D9B">
          <w:rPr>
            <w:rStyle w:val="Hyperlink"/>
            <w:noProof/>
          </w:rPr>
          <w:t>2.1.1</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A note on the use of EU data</w:t>
        </w:r>
        <w:r w:rsidR="00B64B3C">
          <w:rPr>
            <w:noProof/>
            <w:webHidden/>
          </w:rPr>
          <w:tab/>
        </w:r>
        <w:r w:rsidR="00B64B3C">
          <w:rPr>
            <w:noProof/>
            <w:webHidden/>
          </w:rPr>
          <w:fldChar w:fldCharType="begin"/>
        </w:r>
        <w:r w:rsidR="00B64B3C">
          <w:rPr>
            <w:noProof/>
            <w:webHidden/>
          </w:rPr>
          <w:instrText xml:space="preserve"> PAGEREF _Toc508203250 \h </w:instrText>
        </w:r>
        <w:r w:rsidR="00B64B3C">
          <w:rPr>
            <w:noProof/>
            <w:webHidden/>
          </w:rPr>
        </w:r>
        <w:r w:rsidR="00B64B3C">
          <w:rPr>
            <w:noProof/>
            <w:webHidden/>
          </w:rPr>
          <w:fldChar w:fldCharType="separate"/>
        </w:r>
        <w:r w:rsidR="00B64B3C">
          <w:rPr>
            <w:noProof/>
            <w:webHidden/>
          </w:rPr>
          <w:t>5</w:t>
        </w:r>
        <w:r w:rsidR="00B64B3C">
          <w:rPr>
            <w:noProof/>
            <w:webHidden/>
          </w:rPr>
          <w:fldChar w:fldCharType="end"/>
        </w:r>
      </w:hyperlink>
    </w:p>
    <w:p w14:paraId="0A4068B8" w14:textId="6B0007EE"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51" w:history="1">
        <w:r w:rsidR="00B64B3C" w:rsidRPr="00216D9B">
          <w:rPr>
            <w:rStyle w:val="Hyperlink"/>
            <w:noProof/>
          </w:rPr>
          <w:t>2.2</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Employment data</w:t>
        </w:r>
        <w:r w:rsidR="00B64B3C">
          <w:rPr>
            <w:noProof/>
            <w:webHidden/>
          </w:rPr>
          <w:tab/>
        </w:r>
        <w:r w:rsidR="00B64B3C">
          <w:rPr>
            <w:noProof/>
            <w:webHidden/>
          </w:rPr>
          <w:fldChar w:fldCharType="begin"/>
        </w:r>
        <w:r w:rsidR="00B64B3C">
          <w:rPr>
            <w:noProof/>
            <w:webHidden/>
          </w:rPr>
          <w:instrText xml:space="preserve"> PAGEREF _Toc508203251 \h </w:instrText>
        </w:r>
        <w:r w:rsidR="00B64B3C">
          <w:rPr>
            <w:noProof/>
            <w:webHidden/>
          </w:rPr>
        </w:r>
        <w:r w:rsidR="00B64B3C">
          <w:rPr>
            <w:noProof/>
            <w:webHidden/>
          </w:rPr>
          <w:fldChar w:fldCharType="separate"/>
        </w:r>
        <w:r w:rsidR="00B64B3C">
          <w:rPr>
            <w:noProof/>
            <w:webHidden/>
          </w:rPr>
          <w:t>6</w:t>
        </w:r>
        <w:r w:rsidR="00B64B3C">
          <w:rPr>
            <w:noProof/>
            <w:webHidden/>
          </w:rPr>
          <w:fldChar w:fldCharType="end"/>
        </w:r>
      </w:hyperlink>
    </w:p>
    <w:p w14:paraId="63FE1270" w14:textId="25A44ED1" w:rsidR="00B64B3C" w:rsidRDefault="00905165">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508203252" w:history="1">
        <w:r w:rsidR="00B64B3C" w:rsidRPr="00216D9B">
          <w:rPr>
            <w:rStyle w:val="Hyperlink"/>
            <w:noProof/>
          </w:rPr>
          <w:t>2.2.1</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Unemployment</w:t>
        </w:r>
        <w:r w:rsidR="00B64B3C">
          <w:rPr>
            <w:noProof/>
            <w:webHidden/>
          </w:rPr>
          <w:tab/>
        </w:r>
        <w:r w:rsidR="00B64B3C">
          <w:rPr>
            <w:noProof/>
            <w:webHidden/>
          </w:rPr>
          <w:fldChar w:fldCharType="begin"/>
        </w:r>
        <w:r w:rsidR="00B64B3C">
          <w:rPr>
            <w:noProof/>
            <w:webHidden/>
          </w:rPr>
          <w:instrText xml:space="preserve"> PAGEREF _Toc508203252 \h </w:instrText>
        </w:r>
        <w:r w:rsidR="00B64B3C">
          <w:rPr>
            <w:noProof/>
            <w:webHidden/>
          </w:rPr>
        </w:r>
        <w:r w:rsidR="00B64B3C">
          <w:rPr>
            <w:noProof/>
            <w:webHidden/>
          </w:rPr>
          <w:fldChar w:fldCharType="separate"/>
        </w:r>
        <w:r w:rsidR="00B64B3C">
          <w:rPr>
            <w:noProof/>
            <w:webHidden/>
          </w:rPr>
          <w:t>9</w:t>
        </w:r>
        <w:r w:rsidR="00B64B3C">
          <w:rPr>
            <w:noProof/>
            <w:webHidden/>
          </w:rPr>
          <w:fldChar w:fldCharType="end"/>
        </w:r>
      </w:hyperlink>
    </w:p>
    <w:p w14:paraId="25164A5A" w14:textId="2F9A5312" w:rsidR="00B64B3C" w:rsidRDefault="00905165">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508203253" w:history="1">
        <w:r w:rsidR="00B64B3C" w:rsidRPr="00216D9B">
          <w:rPr>
            <w:rStyle w:val="Hyperlink"/>
            <w:noProof/>
          </w:rPr>
          <w:t>2.2.2</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Economic activity</w:t>
        </w:r>
        <w:r w:rsidR="00B64B3C">
          <w:rPr>
            <w:noProof/>
            <w:webHidden/>
          </w:rPr>
          <w:tab/>
        </w:r>
        <w:r w:rsidR="00B64B3C">
          <w:rPr>
            <w:noProof/>
            <w:webHidden/>
          </w:rPr>
          <w:fldChar w:fldCharType="begin"/>
        </w:r>
        <w:r w:rsidR="00B64B3C">
          <w:rPr>
            <w:noProof/>
            <w:webHidden/>
          </w:rPr>
          <w:instrText xml:space="preserve"> PAGEREF _Toc508203253 \h </w:instrText>
        </w:r>
        <w:r w:rsidR="00B64B3C">
          <w:rPr>
            <w:noProof/>
            <w:webHidden/>
          </w:rPr>
        </w:r>
        <w:r w:rsidR="00B64B3C">
          <w:rPr>
            <w:noProof/>
            <w:webHidden/>
          </w:rPr>
          <w:fldChar w:fldCharType="separate"/>
        </w:r>
        <w:r w:rsidR="00B64B3C">
          <w:rPr>
            <w:noProof/>
            <w:webHidden/>
          </w:rPr>
          <w:t>11</w:t>
        </w:r>
        <w:r w:rsidR="00B64B3C">
          <w:rPr>
            <w:noProof/>
            <w:webHidden/>
          </w:rPr>
          <w:fldChar w:fldCharType="end"/>
        </w:r>
      </w:hyperlink>
    </w:p>
    <w:p w14:paraId="632F153E" w14:textId="52F4F718"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54" w:history="1">
        <w:r w:rsidR="00B64B3C" w:rsidRPr="00216D9B">
          <w:rPr>
            <w:rStyle w:val="Hyperlink"/>
            <w:noProof/>
          </w:rPr>
          <w:t>2.3</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Education data</w:t>
        </w:r>
        <w:r w:rsidR="00B64B3C">
          <w:rPr>
            <w:noProof/>
            <w:webHidden/>
          </w:rPr>
          <w:tab/>
        </w:r>
        <w:r w:rsidR="00B64B3C">
          <w:rPr>
            <w:noProof/>
            <w:webHidden/>
          </w:rPr>
          <w:fldChar w:fldCharType="begin"/>
        </w:r>
        <w:r w:rsidR="00B64B3C">
          <w:rPr>
            <w:noProof/>
            <w:webHidden/>
          </w:rPr>
          <w:instrText xml:space="preserve"> PAGEREF _Toc508203254 \h </w:instrText>
        </w:r>
        <w:r w:rsidR="00B64B3C">
          <w:rPr>
            <w:noProof/>
            <w:webHidden/>
          </w:rPr>
        </w:r>
        <w:r w:rsidR="00B64B3C">
          <w:rPr>
            <w:noProof/>
            <w:webHidden/>
          </w:rPr>
          <w:fldChar w:fldCharType="separate"/>
        </w:r>
        <w:r w:rsidR="00B64B3C">
          <w:rPr>
            <w:noProof/>
            <w:webHidden/>
          </w:rPr>
          <w:t>14</w:t>
        </w:r>
        <w:r w:rsidR="00B64B3C">
          <w:rPr>
            <w:noProof/>
            <w:webHidden/>
          </w:rPr>
          <w:fldChar w:fldCharType="end"/>
        </w:r>
      </w:hyperlink>
    </w:p>
    <w:p w14:paraId="204ECE5B" w14:textId="346DB3B3" w:rsidR="00B64B3C" w:rsidRDefault="00905165">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508203255" w:history="1">
        <w:r w:rsidR="00B64B3C" w:rsidRPr="00216D9B">
          <w:rPr>
            <w:rStyle w:val="Hyperlink"/>
            <w:noProof/>
          </w:rPr>
          <w:t>2.3.1</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Early school leavers</w:t>
        </w:r>
        <w:r w:rsidR="00B64B3C">
          <w:rPr>
            <w:noProof/>
            <w:webHidden/>
          </w:rPr>
          <w:tab/>
        </w:r>
        <w:r w:rsidR="00B64B3C">
          <w:rPr>
            <w:noProof/>
            <w:webHidden/>
          </w:rPr>
          <w:fldChar w:fldCharType="begin"/>
        </w:r>
        <w:r w:rsidR="00B64B3C">
          <w:rPr>
            <w:noProof/>
            <w:webHidden/>
          </w:rPr>
          <w:instrText xml:space="preserve"> PAGEREF _Toc508203255 \h </w:instrText>
        </w:r>
        <w:r w:rsidR="00B64B3C">
          <w:rPr>
            <w:noProof/>
            <w:webHidden/>
          </w:rPr>
        </w:r>
        <w:r w:rsidR="00B64B3C">
          <w:rPr>
            <w:noProof/>
            <w:webHidden/>
          </w:rPr>
          <w:fldChar w:fldCharType="separate"/>
        </w:r>
        <w:r w:rsidR="00B64B3C">
          <w:rPr>
            <w:noProof/>
            <w:webHidden/>
          </w:rPr>
          <w:t>14</w:t>
        </w:r>
        <w:r w:rsidR="00B64B3C">
          <w:rPr>
            <w:noProof/>
            <w:webHidden/>
          </w:rPr>
          <w:fldChar w:fldCharType="end"/>
        </w:r>
      </w:hyperlink>
    </w:p>
    <w:p w14:paraId="0A4F42F1" w14:textId="57579D95" w:rsidR="00B64B3C" w:rsidRDefault="00905165">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508203256" w:history="1">
        <w:r w:rsidR="00B64B3C" w:rsidRPr="00216D9B">
          <w:rPr>
            <w:rStyle w:val="Hyperlink"/>
            <w:noProof/>
          </w:rPr>
          <w:t>2.3.2</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Tertiary education</w:t>
        </w:r>
        <w:r w:rsidR="00B64B3C">
          <w:rPr>
            <w:noProof/>
            <w:webHidden/>
          </w:rPr>
          <w:tab/>
        </w:r>
        <w:r w:rsidR="00B64B3C">
          <w:rPr>
            <w:noProof/>
            <w:webHidden/>
          </w:rPr>
          <w:fldChar w:fldCharType="begin"/>
        </w:r>
        <w:r w:rsidR="00B64B3C">
          <w:rPr>
            <w:noProof/>
            <w:webHidden/>
          </w:rPr>
          <w:instrText xml:space="preserve"> PAGEREF _Toc508203256 \h </w:instrText>
        </w:r>
        <w:r w:rsidR="00B64B3C">
          <w:rPr>
            <w:noProof/>
            <w:webHidden/>
          </w:rPr>
        </w:r>
        <w:r w:rsidR="00B64B3C">
          <w:rPr>
            <w:noProof/>
            <w:webHidden/>
          </w:rPr>
          <w:fldChar w:fldCharType="separate"/>
        </w:r>
        <w:r w:rsidR="00B64B3C">
          <w:rPr>
            <w:noProof/>
            <w:webHidden/>
          </w:rPr>
          <w:t>16</w:t>
        </w:r>
        <w:r w:rsidR="00B64B3C">
          <w:rPr>
            <w:noProof/>
            <w:webHidden/>
          </w:rPr>
          <w:fldChar w:fldCharType="end"/>
        </w:r>
      </w:hyperlink>
    </w:p>
    <w:p w14:paraId="1DC7CEC6" w14:textId="708758A1"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57" w:history="1">
        <w:r w:rsidR="00B64B3C" w:rsidRPr="00216D9B">
          <w:rPr>
            <w:rStyle w:val="Hyperlink"/>
            <w:noProof/>
          </w:rPr>
          <w:t>2.4</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Poverty and social exclusion data</w:t>
        </w:r>
        <w:r w:rsidR="00B64B3C">
          <w:rPr>
            <w:noProof/>
            <w:webHidden/>
          </w:rPr>
          <w:tab/>
        </w:r>
        <w:r w:rsidR="00B64B3C">
          <w:rPr>
            <w:noProof/>
            <w:webHidden/>
          </w:rPr>
          <w:fldChar w:fldCharType="begin"/>
        </w:r>
        <w:r w:rsidR="00B64B3C">
          <w:rPr>
            <w:noProof/>
            <w:webHidden/>
          </w:rPr>
          <w:instrText xml:space="preserve"> PAGEREF _Toc508203257 \h </w:instrText>
        </w:r>
        <w:r w:rsidR="00B64B3C">
          <w:rPr>
            <w:noProof/>
            <w:webHidden/>
          </w:rPr>
        </w:r>
        <w:r w:rsidR="00B64B3C">
          <w:rPr>
            <w:noProof/>
            <w:webHidden/>
          </w:rPr>
          <w:fldChar w:fldCharType="separate"/>
        </w:r>
        <w:r w:rsidR="00B64B3C">
          <w:rPr>
            <w:noProof/>
            <w:webHidden/>
          </w:rPr>
          <w:t>18</w:t>
        </w:r>
        <w:r w:rsidR="00B64B3C">
          <w:rPr>
            <w:noProof/>
            <w:webHidden/>
          </w:rPr>
          <w:fldChar w:fldCharType="end"/>
        </w:r>
      </w:hyperlink>
    </w:p>
    <w:p w14:paraId="155456C0" w14:textId="1BA0C0D8" w:rsidR="00B64B3C" w:rsidRDefault="00905165">
      <w:pPr>
        <w:pStyle w:val="TOC1"/>
        <w:tabs>
          <w:tab w:val="right" w:leader="dot" w:pos="9060"/>
        </w:tabs>
        <w:rPr>
          <w:rFonts w:asciiTheme="minorHAnsi" w:eastAsiaTheme="minorEastAsia" w:hAnsiTheme="minorHAnsi" w:cstheme="minorBidi"/>
          <w:noProof/>
          <w:sz w:val="22"/>
          <w:szCs w:val="22"/>
          <w:lang w:val="nl-NL" w:eastAsia="nl-NL"/>
        </w:rPr>
      </w:pPr>
      <w:hyperlink w:anchor="_Toc508203258" w:history="1">
        <w:r w:rsidR="00B64B3C" w:rsidRPr="00216D9B">
          <w:rPr>
            <w:rStyle w:val="Hyperlink"/>
            <w:noProof/>
          </w:rPr>
          <w:t>3</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Description of the situation and trends in relation to each target area</w:t>
        </w:r>
        <w:r w:rsidR="00B64B3C">
          <w:rPr>
            <w:noProof/>
            <w:webHidden/>
          </w:rPr>
          <w:tab/>
        </w:r>
        <w:r w:rsidR="00B64B3C">
          <w:rPr>
            <w:noProof/>
            <w:webHidden/>
          </w:rPr>
          <w:fldChar w:fldCharType="begin"/>
        </w:r>
        <w:r w:rsidR="00B64B3C">
          <w:rPr>
            <w:noProof/>
            <w:webHidden/>
          </w:rPr>
          <w:instrText xml:space="preserve"> PAGEREF _Toc508203258 \h </w:instrText>
        </w:r>
        <w:r w:rsidR="00B64B3C">
          <w:rPr>
            <w:noProof/>
            <w:webHidden/>
          </w:rPr>
        </w:r>
        <w:r w:rsidR="00B64B3C">
          <w:rPr>
            <w:noProof/>
            <w:webHidden/>
          </w:rPr>
          <w:fldChar w:fldCharType="separate"/>
        </w:r>
        <w:r w:rsidR="00B64B3C">
          <w:rPr>
            <w:noProof/>
            <w:webHidden/>
          </w:rPr>
          <w:t>22</w:t>
        </w:r>
        <w:r w:rsidR="00B64B3C">
          <w:rPr>
            <w:noProof/>
            <w:webHidden/>
          </w:rPr>
          <w:fldChar w:fldCharType="end"/>
        </w:r>
      </w:hyperlink>
    </w:p>
    <w:p w14:paraId="5F90CEE7" w14:textId="703292F2"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59" w:history="1">
        <w:r w:rsidR="00B64B3C" w:rsidRPr="00216D9B">
          <w:rPr>
            <w:rStyle w:val="Hyperlink"/>
            <w:noProof/>
          </w:rPr>
          <w:t>3.1</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Employment</w:t>
        </w:r>
        <w:r w:rsidR="00B64B3C">
          <w:rPr>
            <w:noProof/>
            <w:webHidden/>
          </w:rPr>
          <w:tab/>
        </w:r>
        <w:r w:rsidR="00B64B3C">
          <w:rPr>
            <w:noProof/>
            <w:webHidden/>
          </w:rPr>
          <w:fldChar w:fldCharType="begin"/>
        </w:r>
        <w:r w:rsidR="00B64B3C">
          <w:rPr>
            <w:noProof/>
            <w:webHidden/>
          </w:rPr>
          <w:instrText xml:space="preserve"> PAGEREF _Toc508203259 \h </w:instrText>
        </w:r>
        <w:r w:rsidR="00B64B3C">
          <w:rPr>
            <w:noProof/>
            <w:webHidden/>
          </w:rPr>
        </w:r>
        <w:r w:rsidR="00B64B3C">
          <w:rPr>
            <w:noProof/>
            <w:webHidden/>
          </w:rPr>
          <w:fldChar w:fldCharType="separate"/>
        </w:r>
        <w:r w:rsidR="00B64B3C">
          <w:rPr>
            <w:noProof/>
            <w:webHidden/>
          </w:rPr>
          <w:t>22</w:t>
        </w:r>
        <w:r w:rsidR="00B64B3C">
          <w:rPr>
            <w:noProof/>
            <w:webHidden/>
          </w:rPr>
          <w:fldChar w:fldCharType="end"/>
        </w:r>
      </w:hyperlink>
    </w:p>
    <w:p w14:paraId="515E54E0" w14:textId="683D1171"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60" w:history="1">
        <w:r w:rsidR="00B64B3C" w:rsidRPr="00216D9B">
          <w:rPr>
            <w:rStyle w:val="Hyperlink"/>
            <w:noProof/>
          </w:rPr>
          <w:t>3.2</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Education</w:t>
        </w:r>
        <w:r w:rsidR="00B64B3C">
          <w:rPr>
            <w:noProof/>
            <w:webHidden/>
          </w:rPr>
          <w:tab/>
        </w:r>
        <w:r w:rsidR="00B64B3C">
          <w:rPr>
            <w:noProof/>
            <w:webHidden/>
          </w:rPr>
          <w:fldChar w:fldCharType="begin"/>
        </w:r>
        <w:r w:rsidR="00B64B3C">
          <w:rPr>
            <w:noProof/>
            <w:webHidden/>
          </w:rPr>
          <w:instrText xml:space="preserve"> PAGEREF _Toc508203260 \h </w:instrText>
        </w:r>
        <w:r w:rsidR="00B64B3C">
          <w:rPr>
            <w:noProof/>
            <w:webHidden/>
          </w:rPr>
        </w:r>
        <w:r w:rsidR="00B64B3C">
          <w:rPr>
            <w:noProof/>
            <w:webHidden/>
          </w:rPr>
          <w:fldChar w:fldCharType="separate"/>
        </w:r>
        <w:r w:rsidR="00B64B3C">
          <w:rPr>
            <w:noProof/>
            <w:webHidden/>
          </w:rPr>
          <w:t>23</w:t>
        </w:r>
        <w:r w:rsidR="00B64B3C">
          <w:rPr>
            <w:noProof/>
            <w:webHidden/>
          </w:rPr>
          <w:fldChar w:fldCharType="end"/>
        </w:r>
      </w:hyperlink>
    </w:p>
    <w:p w14:paraId="2AEAF0DD" w14:textId="521BCA63"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61" w:history="1">
        <w:r w:rsidR="00B64B3C" w:rsidRPr="00216D9B">
          <w:rPr>
            <w:rStyle w:val="Hyperlink"/>
            <w:noProof/>
          </w:rPr>
          <w:t>3.3</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Poverty and social inclusion</w:t>
        </w:r>
        <w:r w:rsidR="00B64B3C">
          <w:rPr>
            <w:noProof/>
            <w:webHidden/>
          </w:rPr>
          <w:tab/>
        </w:r>
        <w:r w:rsidR="00B64B3C">
          <w:rPr>
            <w:noProof/>
            <w:webHidden/>
          </w:rPr>
          <w:fldChar w:fldCharType="begin"/>
        </w:r>
        <w:r w:rsidR="00B64B3C">
          <w:rPr>
            <w:noProof/>
            <w:webHidden/>
          </w:rPr>
          <w:instrText xml:space="preserve"> PAGEREF _Toc508203261 \h </w:instrText>
        </w:r>
        <w:r w:rsidR="00B64B3C">
          <w:rPr>
            <w:noProof/>
            <w:webHidden/>
          </w:rPr>
        </w:r>
        <w:r w:rsidR="00B64B3C">
          <w:rPr>
            <w:noProof/>
            <w:webHidden/>
          </w:rPr>
          <w:fldChar w:fldCharType="separate"/>
        </w:r>
        <w:r w:rsidR="00B64B3C">
          <w:rPr>
            <w:noProof/>
            <w:webHidden/>
          </w:rPr>
          <w:t>25</w:t>
        </w:r>
        <w:r w:rsidR="00B64B3C">
          <w:rPr>
            <w:noProof/>
            <w:webHidden/>
          </w:rPr>
          <w:fldChar w:fldCharType="end"/>
        </w:r>
      </w:hyperlink>
    </w:p>
    <w:p w14:paraId="12271FCF" w14:textId="38FAFB55" w:rsidR="00B64B3C" w:rsidRDefault="00905165">
      <w:pPr>
        <w:pStyle w:val="TOC1"/>
        <w:tabs>
          <w:tab w:val="right" w:leader="dot" w:pos="9060"/>
        </w:tabs>
        <w:rPr>
          <w:rFonts w:asciiTheme="minorHAnsi" w:eastAsiaTheme="minorEastAsia" w:hAnsiTheme="minorHAnsi" w:cstheme="minorBidi"/>
          <w:noProof/>
          <w:sz w:val="22"/>
          <w:szCs w:val="22"/>
          <w:lang w:val="nl-NL" w:eastAsia="nl-NL"/>
        </w:rPr>
      </w:pPr>
      <w:hyperlink w:anchor="_Toc508203262" w:history="1">
        <w:r w:rsidR="00B64B3C" w:rsidRPr="00216D9B">
          <w:rPr>
            <w:rStyle w:val="Hyperlink"/>
            <w:noProof/>
            <w:lang w:eastAsia="en-GB"/>
          </w:rPr>
          <w:t>4</w:t>
        </w:r>
        <w:r w:rsidR="00B64B3C">
          <w:rPr>
            <w:rFonts w:asciiTheme="minorHAnsi" w:eastAsiaTheme="minorEastAsia" w:hAnsiTheme="minorHAnsi" w:cstheme="minorBidi"/>
            <w:noProof/>
            <w:sz w:val="22"/>
            <w:szCs w:val="22"/>
            <w:lang w:val="nl-NL" w:eastAsia="nl-NL"/>
          </w:rPr>
          <w:tab/>
        </w:r>
        <w:r w:rsidR="00B64B3C" w:rsidRPr="00216D9B">
          <w:rPr>
            <w:rStyle w:val="Hyperlink"/>
            <w:noProof/>
            <w:lang w:eastAsia="en-GB"/>
          </w:rPr>
          <w:t>Assessment of policies in place to meet the relevant headline targets</w:t>
        </w:r>
        <w:r w:rsidR="00B64B3C">
          <w:rPr>
            <w:noProof/>
            <w:webHidden/>
          </w:rPr>
          <w:tab/>
        </w:r>
        <w:r w:rsidR="00B64B3C">
          <w:rPr>
            <w:noProof/>
            <w:webHidden/>
          </w:rPr>
          <w:fldChar w:fldCharType="begin"/>
        </w:r>
        <w:r w:rsidR="00B64B3C">
          <w:rPr>
            <w:noProof/>
            <w:webHidden/>
          </w:rPr>
          <w:instrText xml:space="preserve"> PAGEREF _Toc508203262 \h </w:instrText>
        </w:r>
        <w:r w:rsidR="00B64B3C">
          <w:rPr>
            <w:noProof/>
            <w:webHidden/>
          </w:rPr>
        </w:r>
        <w:r w:rsidR="00B64B3C">
          <w:rPr>
            <w:noProof/>
            <w:webHidden/>
          </w:rPr>
          <w:fldChar w:fldCharType="separate"/>
        </w:r>
        <w:r w:rsidR="00B64B3C">
          <w:rPr>
            <w:noProof/>
            <w:webHidden/>
          </w:rPr>
          <w:t>27</w:t>
        </w:r>
        <w:r w:rsidR="00B64B3C">
          <w:rPr>
            <w:noProof/>
            <w:webHidden/>
          </w:rPr>
          <w:fldChar w:fldCharType="end"/>
        </w:r>
      </w:hyperlink>
    </w:p>
    <w:p w14:paraId="01FC13A8" w14:textId="1479CEA1"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63" w:history="1">
        <w:r w:rsidR="00B64B3C" w:rsidRPr="00216D9B">
          <w:rPr>
            <w:rStyle w:val="Hyperlink"/>
            <w:noProof/>
          </w:rPr>
          <w:t>4.1</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Employment</w:t>
        </w:r>
        <w:r w:rsidR="00B64B3C">
          <w:rPr>
            <w:noProof/>
            <w:webHidden/>
          </w:rPr>
          <w:tab/>
        </w:r>
        <w:r w:rsidR="00B64B3C">
          <w:rPr>
            <w:noProof/>
            <w:webHidden/>
          </w:rPr>
          <w:fldChar w:fldCharType="begin"/>
        </w:r>
        <w:r w:rsidR="00B64B3C">
          <w:rPr>
            <w:noProof/>
            <w:webHidden/>
          </w:rPr>
          <w:instrText xml:space="preserve"> PAGEREF _Toc508203263 \h </w:instrText>
        </w:r>
        <w:r w:rsidR="00B64B3C">
          <w:rPr>
            <w:noProof/>
            <w:webHidden/>
          </w:rPr>
        </w:r>
        <w:r w:rsidR="00B64B3C">
          <w:rPr>
            <w:noProof/>
            <w:webHidden/>
          </w:rPr>
          <w:fldChar w:fldCharType="separate"/>
        </w:r>
        <w:r w:rsidR="00B64B3C">
          <w:rPr>
            <w:noProof/>
            <w:webHidden/>
          </w:rPr>
          <w:t>27</w:t>
        </w:r>
        <w:r w:rsidR="00B64B3C">
          <w:rPr>
            <w:noProof/>
            <w:webHidden/>
          </w:rPr>
          <w:fldChar w:fldCharType="end"/>
        </w:r>
      </w:hyperlink>
    </w:p>
    <w:p w14:paraId="3E8AC423" w14:textId="37898E46"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64" w:history="1">
        <w:r w:rsidR="00B64B3C" w:rsidRPr="00216D9B">
          <w:rPr>
            <w:rStyle w:val="Hyperlink"/>
            <w:noProof/>
          </w:rPr>
          <w:t>4.2</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Education</w:t>
        </w:r>
        <w:r w:rsidR="00B64B3C">
          <w:rPr>
            <w:noProof/>
            <w:webHidden/>
          </w:rPr>
          <w:tab/>
        </w:r>
        <w:r w:rsidR="00B64B3C">
          <w:rPr>
            <w:noProof/>
            <w:webHidden/>
          </w:rPr>
          <w:fldChar w:fldCharType="begin"/>
        </w:r>
        <w:r w:rsidR="00B64B3C">
          <w:rPr>
            <w:noProof/>
            <w:webHidden/>
          </w:rPr>
          <w:instrText xml:space="preserve"> PAGEREF _Toc508203264 \h </w:instrText>
        </w:r>
        <w:r w:rsidR="00B64B3C">
          <w:rPr>
            <w:noProof/>
            <w:webHidden/>
          </w:rPr>
        </w:r>
        <w:r w:rsidR="00B64B3C">
          <w:rPr>
            <w:noProof/>
            <w:webHidden/>
          </w:rPr>
          <w:fldChar w:fldCharType="separate"/>
        </w:r>
        <w:r w:rsidR="00B64B3C">
          <w:rPr>
            <w:noProof/>
            <w:webHidden/>
          </w:rPr>
          <w:t>30</w:t>
        </w:r>
        <w:r w:rsidR="00B64B3C">
          <w:rPr>
            <w:noProof/>
            <w:webHidden/>
          </w:rPr>
          <w:fldChar w:fldCharType="end"/>
        </w:r>
      </w:hyperlink>
    </w:p>
    <w:p w14:paraId="6C933DB8" w14:textId="141FBF0E"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65" w:history="1">
        <w:r w:rsidR="00B64B3C" w:rsidRPr="00216D9B">
          <w:rPr>
            <w:rStyle w:val="Hyperlink"/>
            <w:noProof/>
          </w:rPr>
          <w:t>4.3</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Poverty and social inclusion</w:t>
        </w:r>
        <w:r w:rsidR="00B64B3C">
          <w:rPr>
            <w:noProof/>
            <w:webHidden/>
          </w:rPr>
          <w:tab/>
        </w:r>
        <w:r w:rsidR="00B64B3C">
          <w:rPr>
            <w:noProof/>
            <w:webHidden/>
          </w:rPr>
          <w:fldChar w:fldCharType="begin"/>
        </w:r>
        <w:r w:rsidR="00B64B3C">
          <w:rPr>
            <w:noProof/>
            <w:webHidden/>
          </w:rPr>
          <w:instrText xml:space="preserve"> PAGEREF _Toc508203265 \h </w:instrText>
        </w:r>
        <w:r w:rsidR="00B64B3C">
          <w:rPr>
            <w:noProof/>
            <w:webHidden/>
          </w:rPr>
        </w:r>
        <w:r w:rsidR="00B64B3C">
          <w:rPr>
            <w:noProof/>
            <w:webHidden/>
          </w:rPr>
          <w:fldChar w:fldCharType="separate"/>
        </w:r>
        <w:r w:rsidR="00B64B3C">
          <w:rPr>
            <w:noProof/>
            <w:webHidden/>
          </w:rPr>
          <w:t>31</w:t>
        </w:r>
        <w:r w:rsidR="00B64B3C">
          <w:rPr>
            <w:noProof/>
            <w:webHidden/>
          </w:rPr>
          <w:fldChar w:fldCharType="end"/>
        </w:r>
      </w:hyperlink>
    </w:p>
    <w:p w14:paraId="67B3A5DD" w14:textId="50E18182"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66" w:history="1">
        <w:r w:rsidR="00B64B3C" w:rsidRPr="00216D9B">
          <w:rPr>
            <w:rStyle w:val="Hyperlink"/>
            <w:noProof/>
            <w:lang w:eastAsia="en-GB"/>
          </w:rPr>
          <w:t>4.4</w:t>
        </w:r>
        <w:r w:rsidR="00B64B3C">
          <w:rPr>
            <w:rFonts w:asciiTheme="minorHAnsi" w:eastAsiaTheme="minorEastAsia" w:hAnsiTheme="minorHAnsi" w:cstheme="minorBidi"/>
            <w:noProof/>
            <w:sz w:val="22"/>
            <w:szCs w:val="22"/>
            <w:lang w:val="nl-NL" w:eastAsia="nl-NL"/>
          </w:rPr>
          <w:tab/>
        </w:r>
        <w:r w:rsidR="00B64B3C" w:rsidRPr="00216D9B">
          <w:rPr>
            <w:rStyle w:val="Hyperlink"/>
            <w:noProof/>
            <w:lang w:eastAsia="en-GB"/>
          </w:rPr>
          <w:t>Synergies between developments in the different areas</w:t>
        </w:r>
        <w:r w:rsidR="00B64B3C">
          <w:rPr>
            <w:noProof/>
            <w:webHidden/>
          </w:rPr>
          <w:tab/>
        </w:r>
        <w:r w:rsidR="00B64B3C">
          <w:rPr>
            <w:noProof/>
            <w:webHidden/>
          </w:rPr>
          <w:fldChar w:fldCharType="begin"/>
        </w:r>
        <w:r w:rsidR="00B64B3C">
          <w:rPr>
            <w:noProof/>
            <w:webHidden/>
          </w:rPr>
          <w:instrText xml:space="preserve"> PAGEREF _Toc508203266 \h </w:instrText>
        </w:r>
        <w:r w:rsidR="00B64B3C">
          <w:rPr>
            <w:noProof/>
            <w:webHidden/>
          </w:rPr>
        </w:r>
        <w:r w:rsidR="00B64B3C">
          <w:rPr>
            <w:noProof/>
            <w:webHidden/>
          </w:rPr>
          <w:fldChar w:fldCharType="separate"/>
        </w:r>
        <w:r w:rsidR="00B64B3C">
          <w:rPr>
            <w:noProof/>
            <w:webHidden/>
          </w:rPr>
          <w:t>34</w:t>
        </w:r>
        <w:r w:rsidR="00B64B3C">
          <w:rPr>
            <w:noProof/>
            <w:webHidden/>
          </w:rPr>
          <w:fldChar w:fldCharType="end"/>
        </w:r>
      </w:hyperlink>
    </w:p>
    <w:p w14:paraId="71EF1062" w14:textId="59740E47" w:rsidR="00B64B3C" w:rsidRDefault="00905165">
      <w:pPr>
        <w:pStyle w:val="TOC1"/>
        <w:tabs>
          <w:tab w:val="right" w:leader="dot" w:pos="9060"/>
        </w:tabs>
        <w:rPr>
          <w:rFonts w:asciiTheme="minorHAnsi" w:eastAsiaTheme="minorEastAsia" w:hAnsiTheme="minorHAnsi" w:cstheme="minorBidi"/>
          <w:noProof/>
          <w:sz w:val="22"/>
          <w:szCs w:val="22"/>
          <w:lang w:val="nl-NL" w:eastAsia="nl-NL"/>
        </w:rPr>
      </w:pPr>
      <w:hyperlink w:anchor="_Toc508203267" w:history="1">
        <w:r w:rsidR="00B64B3C" w:rsidRPr="00216D9B">
          <w:rPr>
            <w:rStyle w:val="Hyperlink"/>
            <w:noProof/>
            <w:lang w:eastAsia="en-GB"/>
          </w:rPr>
          <w:t>5</w:t>
        </w:r>
        <w:r w:rsidR="00B64B3C">
          <w:rPr>
            <w:rFonts w:asciiTheme="minorHAnsi" w:eastAsiaTheme="minorEastAsia" w:hAnsiTheme="minorHAnsi" w:cstheme="minorBidi"/>
            <w:noProof/>
            <w:sz w:val="22"/>
            <w:szCs w:val="22"/>
            <w:lang w:val="nl-NL" w:eastAsia="nl-NL"/>
          </w:rPr>
          <w:tab/>
        </w:r>
        <w:r w:rsidR="00B64B3C" w:rsidRPr="00216D9B">
          <w:rPr>
            <w:rStyle w:val="Hyperlink"/>
            <w:noProof/>
            <w:lang w:eastAsia="en-GB"/>
          </w:rPr>
          <w:t>Review of the European Semester from a disability perspective</w:t>
        </w:r>
        <w:r w:rsidR="00B64B3C">
          <w:rPr>
            <w:noProof/>
            <w:webHidden/>
          </w:rPr>
          <w:tab/>
        </w:r>
        <w:r w:rsidR="00B64B3C">
          <w:rPr>
            <w:noProof/>
            <w:webHidden/>
          </w:rPr>
          <w:fldChar w:fldCharType="begin"/>
        </w:r>
        <w:r w:rsidR="00B64B3C">
          <w:rPr>
            <w:noProof/>
            <w:webHidden/>
          </w:rPr>
          <w:instrText xml:space="preserve"> PAGEREF _Toc508203267 \h </w:instrText>
        </w:r>
        <w:r w:rsidR="00B64B3C">
          <w:rPr>
            <w:noProof/>
            <w:webHidden/>
          </w:rPr>
        </w:r>
        <w:r w:rsidR="00B64B3C">
          <w:rPr>
            <w:noProof/>
            <w:webHidden/>
          </w:rPr>
          <w:fldChar w:fldCharType="separate"/>
        </w:r>
        <w:r w:rsidR="00B64B3C">
          <w:rPr>
            <w:noProof/>
            <w:webHidden/>
          </w:rPr>
          <w:t>36</w:t>
        </w:r>
        <w:r w:rsidR="00B64B3C">
          <w:rPr>
            <w:noProof/>
            <w:webHidden/>
          </w:rPr>
          <w:fldChar w:fldCharType="end"/>
        </w:r>
      </w:hyperlink>
    </w:p>
    <w:p w14:paraId="7B547E87" w14:textId="6A8882D3"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68" w:history="1">
        <w:r w:rsidR="00B64B3C" w:rsidRPr="00216D9B">
          <w:rPr>
            <w:rStyle w:val="Hyperlink"/>
            <w:noProof/>
          </w:rPr>
          <w:t>5.1</w:t>
        </w:r>
        <w:r w:rsidR="00B64B3C">
          <w:rPr>
            <w:rFonts w:asciiTheme="minorHAnsi" w:eastAsiaTheme="minorEastAsia" w:hAnsiTheme="minorHAnsi" w:cstheme="minorBidi"/>
            <w:noProof/>
            <w:sz w:val="22"/>
            <w:szCs w:val="22"/>
            <w:lang w:val="nl-NL" w:eastAsia="nl-NL"/>
          </w:rPr>
          <w:tab/>
        </w:r>
        <w:r w:rsidR="00B64B3C" w:rsidRPr="00216D9B">
          <w:rPr>
            <w:rStyle w:val="Hyperlink"/>
            <w:noProof/>
          </w:rPr>
          <w:t>Progress on disability-specific Country Specific Recommendations (CSRs)</w:t>
        </w:r>
        <w:r w:rsidR="00B64B3C">
          <w:rPr>
            <w:noProof/>
            <w:webHidden/>
          </w:rPr>
          <w:tab/>
        </w:r>
        <w:r w:rsidR="00B64B3C">
          <w:rPr>
            <w:noProof/>
            <w:webHidden/>
          </w:rPr>
          <w:fldChar w:fldCharType="begin"/>
        </w:r>
        <w:r w:rsidR="00B64B3C">
          <w:rPr>
            <w:noProof/>
            <w:webHidden/>
          </w:rPr>
          <w:instrText xml:space="preserve"> PAGEREF _Toc508203268 \h </w:instrText>
        </w:r>
        <w:r w:rsidR="00B64B3C">
          <w:rPr>
            <w:noProof/>
            <w:webHidden/>
          </w:rPr>
        </w:r>
        <w:r w:rsidR="00B64B3C">
          <w:rPr>
            <w:noProof/>
            <w:webHidden/>
          </w:rPr>
          <w:fldChar w:fldCharType="separate"/>
        </w:r>
        <w:r w:rsidR="00B64B3C">
          <w:rPr>
            <w:noProof/>
            <w:webHidden/>
          </w:rPr>
          <w:t>36</w:t>
        </w:r>
        <w:r w:rsidR="00B64B3C">
          <w:rPr>
            <w:noProof/>
            <w:webHidden/>
          </w:rPr>
          <w:fldChar w:fldCharType="end"/>
        </w:r>
      </w:hyperlink>
    </w:p>
    <w:p w14:paraId="7386F5DA" w14:textId="6E080FDC"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69" w:history="1">
        <w:r w:rsidR="00B64B3C" w:rsidRPr="00216D9B">
          <w:rPr>
            <w:rStyle w:val="Hyperlink"/>
            <w:noProof/>
            <w:lang w:eastAsia="en-GB"/>
          </w:rPr>
          <w:t>5.2</w:t>
        </w:r>
        <w:r w:rsidR="00B64B3C">
          <w:rPr>
            <w:rFonts w:asciiTheme="minorHAnsi" w:eastAsiaTheme="minorEastAsia" w:hAnsiTheme="minorHAnsi" w:cstheme="minorBidi"/>
            <w:noProof/>
            <w:sz w:val="22"/>
            <w:szCs w:val="22"/>
            <w:lang w:val="nl-NL" w:eastAsia="nl-NL"/>
          </w:rPr>
          <w:tab/>
        </w:r>
        <w:r w:rsidR="00B64B3C" w:rsidRPr="00216D9B">
          <w:rPr>
            <w:rStyle w:val="Hyperlink"/>
            <w:noProof/>
            <w:lang w:eastAsia="en-GB"/>
          </w:rPr>
          <w:t>Progress on other CSRs from a disability perspective</w:t>
        </w:r>
        <w:r w:rsidR="00B64B3C">
          <w:rPr>
            <w:noProof/>
            <w:webHidden/>
          </w:rPr>
          <w:tab/>
        </w:r>
        <w:r w:rsidR="00B64B3C">
          <w:rPr>
            <w:noProof/>
            <w:webHidden/>
          </w:rPr>
          <w:fldChar w:fldCharType="begin"/>
        </w:r>
        <w:r w:rsidR="00B64B3C">
          <w:rPr>
            <w:noProof/>
            <w:webHidden/>
          </w:rPr>
          <w:instrText xml:space="preserve"> PAGEREF _Toc508203269 \h </w:instrText>
        </w:r>
        <w:r w:rsidR="00B64B3C">
          <w:rPr>
            <w:noProof/>
            <w:webHidden/>
          </w:rPr>
        </w:r>
        <w:r w:rsidR="00B64B3C">
          <w:rPr>
            <w:noProof/>
            <w:webHidden/>
          </w:rPr>
          <w:fldChar w:fldCharType="separate"/>
        </w:r>
        <w:r w:rsidR="00B64B3C">
          <w:rPr>
            <w:noProof/>
            <w:webHidden/>
          </w:rPr>
          <w:t>36</w:t>
        </w:r>
        <w:r w:rsidR="00B64B3C">
          <w:rPr>
            <w:noProof/>
            <w:webHidden/>
          </w:rPr>
          <w:fldChar w:fldCharType="end"/>
        </w:r>
      </w:hyperlink>
    </w:p>
    <w:p w14:paraId="1B92B34B" w14:textId="4FA471E8"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70" w:history="1">
        <w:r w:rsidR="00B64B3C" w:rsidRPr="00216D9B">
          <w:rPr>
            <w:rStyle w:val="Hyperlink"/>
            <w:noProof/>
            <w:lang w:eastAsia="en-GB"/>
          </w:rPr>
          <w:t>5.3</w:t>
        </w:r>
        <w:r w:rsidR="00B64B3C">
          <w:rPr>
            <w:rFonts w:asciiTheme="minorHAnsi" w:eastAsiaTheme="minorEastAsia" w:hAnsiTheme="minorHAnsi" w:cstheme="minorBidi"/>
            <w:noProof/>
            <w:sz w:val="22"/>
            <w:szCs w:val="22"/>
            <w:lang w:val="nl-NL" w:eastAsia="nl-NL"/>
          </w:rPr>
          <w:tab/>
        </w:r>
        <w:r w:rsidR="00B64B3C" w:rsidRPr="00216D9B">
          <w:rPr>
            <w:rStyle w:val="Hyperlink"/>
            <w:noProof/>
            <w:lang w:eastAsia="en-GB"/>
          </w:rPr>
          <w:t>Assessment of disability issues in the Country Report (CR)</w:t>
        </w:r>
        <w:r w:rsidR="00B64B3C">
          <w:rPr>
            <w:noProof/>
            <w:webHidden/>
          </w:rPr>
          <w:tab/>
        </w:r>
        <w:r w:rsidR="00B64B3C">
          <w:rPr>
            <w:noProof/>
            <w:webHidden/>
          </w:rPr>
          <w:fldChar w:fldCharType="begin"/>
        </w:r>
        <w:r w:rsidR="00B64B3C">
          <w:rPr>
            <w:noProof/>
            <w:webHidden/>
          </w:rPr>
          <w:instrText xml:space="preserve"> PAGEREF _Toc508203270 \h </w:instrText>
        </w:r>
        <w:r w:rsidR="00B64B3C">
          <w:rPr>
            <w:noProof/>
            <w:webHidden/>
          </w:rPr>
        </w:r>
        <w:r w:rsidR="00B64B3C">
          <w:rPr>
            <w:noProof/>
            <w:webHidden/>
          </w:rPr>
          <w:fldChar w:fldCharType="separate"/>
        </w:r>
        <w:r w:rsidR="00B64B3C">
          <w:rPr>
            <w:noProof/>
            <w:webHidden/>
          </w:rPr>
          <w:t>37</w:t>
        </w:r>
        <w:r w:rsidR="00B64B3C">
          <w:rPr>
            <w:noProof/>
            <w:webHidden/>
          </w:rPr>
          <w:fldChar w:fldCharType="end"/>
        </w:r>
      </w:hyperlink>
    </w:p>
    <w:p w14:paraId="65F50AE7" w14:textId="5347F6A4" w:rsidR="00B64B3C" w:rsidRDefault="00905165">
      <w:pPr>
        <w:pStyle w:val="TOC1"/>
        <w:tabs>
          <w:tab w:val="right" w:leader="dot" w:pos="9060"/>
        </w:tabs>
        <w:rPr>
          <w:rFonts w:asciiTheme="minorHAnsi" w:eastAsiaTheme="minorEastAsia" w:hAnsiTheme="minorHAnsi" w:cstheme="minorBidi"/>
          <w:noProof/>
          <w:sz w:val="22"/>
          <w:szCs w:val="22"/>
          <w:lang w:val="nl-NL" w:eastAsia="nl-NL"/>
        </w:rPr>
      </w:pPr>
      <w:hyperlink w:anchor="_Toc508203271" w:history="1">
        <w:r w:rsidR="00B64B3C" w:rsidRPr="00216D9B">
          <w:rPr>
            <w:rStyle w:val="Hyperlink"/>
            <w:noProof/>
            <w:lang w:eastAsia="en-GB"/>
          </w:rPr>
          <w:t>6</w:t>
        </w:r>
        <w:r w:rsidR="00B64B3C">
          <w:rPr>
            <w:rFonts w:asciiTheme="minorHAnsi" w:eastAsiaTheme="minorEastAsia" w:hAnsiTheme="minorHAnsi" w:cstheme="minorBidi"/>
            <w:noProof/>
            <w:sz w:val="22"/>
            <w:szCs w:val="22"/>
            <w:lang w:val="nl-NL" w:eastAsia="nl-NL"/>
          </w:rPr>
          <w:tab/>
        </w:r>
        <w:r w:rsidR="00B64B3C" w:rsidRPr="00216D9B">
          <w:rPr>
            <w:rStyle w:val="Hyperlink"/>
            <w:noProof/>
            <w:lang w:eastAsia="en-GB"/>
          </w:rPr>
          <w:t>Assessment of the structural funds ESIF 2014-2020 or other relevant funds</w:t>
        </w:r>
        <w:r w:rsidR="00B64B3C" w:rsidRPr="00216D9B">
          <w:rPr>
            <w:rStyle w:val="Hyperlink"/>
            <w:noProof/>
          </w:rPr>
          <w:t xml:space="preserve"> </w:t>
        </w:r>
        <w:r w:rsidR="00B64B3C" w:rsidRPr="00216D9B">
          <w:rPr>
            <w:rStyle w:val="Hyperlink"/>
            <w:noProof/>
            <w:lang w:eastAsia="en-GB"/>
          </w:rPr>
          <w:t>in relation to disability challenges</w:t>
        </w:r>
        <w:r w:rsidR="00B64B3C">
          <w:rPr>
            <w:noProof/>
            <w:webHidden/>
          </w:rPr>
          <w:tab/>
        </w:r>
        <w:r w:rsidR="00B64B3C">
          <w:rPr>
            <w:noProof/>
            <w:webHidden/>
          </w:rPr>
          <w:fldChar w:fldCharType="begin"/>
        </w:r>
        <w:r w:rsidR="00B64B3C">
          <w:rPr>
            <w:noProof/>
            <w:webHidden/>
          </w:rPr>
          <w:instrText xml:space="preserve"> PAGEREF _Toc508203271 \h </w:instrText>
        </w:r>
        <w:r w:rsidR="00B64B3C">
          <w:rPr>
            <w:noProof/>
            <w:webHidden/>
          </w:rPr>
        </w:r>
        <w:r w:rsidR="00B64B3C">
          <w:rPr>
            <w:noProof/>
            <w:webHidden/>
          </w:rPr>
          <w:fldChar w:fldCharType="separate"/>
        </w:r>
        <w:r w:rsidR="00B64B3C">
          <w:rPr>
            <w:noProof/>
            <w:webHidden/>
          </w:rPr>
          <w:t>39</w:t>
        </w:r>
        <w:r w:rsidR="00B64B3C">
          <w:rPr>
            <w:noProof/>
            <w:webHidden/>
          </w:rPr>
          <w:fldChar w:fldCharType="end"/>
        </w:r>
      </w:hyperlink>
    </w:p>
    <w:p w14:paraId="04B024C7" w14:textId="6B3DDB50" w:rsidR="00B64B3C" w:rsidRDefault="00905165">
      <w:pPr>
        <w:pStyle w:val="TOC1"/>
        <w:tabs>
          <w:tab w:val="right" w:leader="dot" w:pos="9060"/>
        </w:tabs>
        <w:rPr>
          <w:rFonts w:asciiTheme="minorHAnsi" w:eastAsiaTheme="minorEastAsia" w:hAnsiTheme="minorHAnsi" w:cstheme="minorBidi"/>
          <w:noProof/>
          <w:sz w:val="22"/>
          <w:szCs w:val="22"/>
          <w:lang w:val="nl-NL" w:eastAsia="nl-NL"/>
        </w:rPr>
      </w:pPr>
      <w:hyperlink w:anchor="_Toc508203272" w:history="1">
        <w:r w:rsidR="00B64B3C" w:rsidRPr="00216D9B">
          <w:rPr>
            <w:rStyle w:val="Hyperlink"/>
            <w:noProof/>
            <w:lang w:eastAsia="en-GB"/>
          </w:rPr>
          <w:t>7</w:t>
        </w:r>
        <w:r w:rsidR="00B64B3C">
          <w:rPr>
            <w:rFonts w:asciiTheme="minorHAnsi" w:eastAsiaTheme="minorEastAsia" w:hAnsiTheme="minorHAnsi" w:cstheme="minorBidi"/>
            <w:noProof/>
            <w:sz w:val="22"/>
            <w:szCs w:val="22"/>
            <w:lang w:val="nl-NL" w:eastAsia="nl-NL"/>
          </w:rPr>
          <w:tab/>
        </w:r>
        <w:r w:rsidR="00B64B3C" w:rsidRPr="00216D9B">
          <w:rPr>
            <w:rStyle w:val="Hyperlink"/>
            <w:noProof/>
            <w:lang w:eastAsia="en-GB"/>
          </w:rPr>
          <w:t>Recommendations</w:t>
        </w:r>
        <w:r w:rsidR="00B64B3C">
          <w:rPr>
            <w:noProof/>
            <w:webHidden/>
          </w:rPr>
          <w:tab/>
        </w:r>
        <w:r w:rsidR="00B64B3C">
          <w:rPr>
            <w:noProof/>
            <w:webHidden/>
          </w:rPr>
          <w:fldChar w:fldCharType="begin"/>
        </w:r>
        <w:r w:rsidR="00B64B3C">
          <w:rPr>
            <w:noProof/>
            <w:webHidden/>
          </w:rPr>
          <w:instrText xml:space="preserve"> PAGEREF _Toc508203272 \h </w:instrText>
        </w:r>
        <w:r w:rsidR="00B64B3C">
          <w:rPr>
            <w:noProof/>
            <w:webHidden/>
          </w:rPr>
        </w:r>
        <w:r w:rsidR="00B64B3C">
          <w:rPr>
            <w:noProof/>
            <w:webHidden/>
          </w:rPr>
          <w:fldChar w:fldCharType="separate"/>
        </w:r>
        <w:r w:rsidR="00B64B3C">
          <w:rPr>
            <w:noProof/>
            <w:webHidden/>
          </w:rPr>
          <w:t>42</w:t>
        </w:r>
        <w:r w:rsidR="00B64B3C">
          <w:rPr>
            <w:noProof/>
            <w:webHidden/>
          </w:rPr>
          <w:fldChar w:fldCharType="end"/>
        </w:r>
      </w:hyperlink>
    </w:p>
    <w:p w14:paraId="747F8622" w14:textId="25B89EA6"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73" w:history="1">
        <w:r w:rsidR="00B64B3C" w:rsidRPr="00216D9B">
          <w:rPr>
            <w:rStyle w:val="Hyperlink"/>
            <w:noProof/>
            <w:lang w:eastAsia="en-GB"/>
          </w:rPr>
          <w:t>7.1</w:t>
        </w:r>
        <w:r w:rsidR="00B64B3C">
          <w:rPr>
            <w:rFonts w:asciiTheme="minorHAnsi" w:eastAsiaTheme="minorEastAsia" w:hAnsiTheme="minorHAnsi" w:cstheme="minorBidi"/>
            <w:noProof/>
            <w:sz w:val="22"/>
            <w:szCs w:val="22"/>
            <w:lang w:val="nl-NL" w:eastAsia="nl-NL"/>
          </w:rPr>
          <w:tab/>
        </w:r>
        <w:r w:rsidR="00B64B3C" w:rsidRPr="00216D9B">
          <w:rPr>
            <w:rStyle w:val="Hyperlink"/>
            <w:noProof/>
            <w:lang w:eastAsia="en-GB"/>
          </w:rPr>
          <w:t>Employment</w:t>
        </w:r>
        <w:r w:rsidR="00B64B3C">
          <w:rPr>
            <w:noProof/>
            <w:webHidden/>
          </w:rPr>
          <w:tab/>
        </w:r>
        <w:r w:rsidR="00B64B3C">
          <w:rPr>
            <w:noProof/>
            <w:webHidden/>
          </w:rPr>
          <w:fldChar w:fldCharType="begin"/>
        </w:r>
        <w:r w:rsidR="00B64B3C">
          <w:rPr>
            <w:noProof/>
            <w:webHidden/>
          </w:rPr>
          <w:instrText xml:space="preserve"> PAGEREF _Toc508203273 \h </w:instrText>
        </w:r>
        <w:r w:rsidR="00B64B3C">
          <w:rPr>
            <w:noProof/>
            <w:webHidden/>
          </w:rPr>
        </w:r>
        <w:r w:rsidR="00B64B3C">
          <w:rPr>
            <w:noProof/>
            <w:webHidden/>
          </w:rPr>
          <w:fldChar w:fldCharType="separate"/>
        </w:r>
        <w:r w:rsidR="00B64B3C">
          <w:rPr>
            <w:noProof/>
            <w:webHidden/>
          </w:rPr>
          <w:t>42</w:t>
        </w:r>
        <w:r w:rsidR="00B64B3C">
          <w:rPr>
            <w:noProof/>
            <w:webHidden/>
          </w:rPr>
          <w:fldChar w:fldCharType="end"/>
        </w:r>
      </w:hyperlink>
    </w:p>
    <w:p w14:paraId="5B49CE1F" w14:textId="685F3AD0"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74" w:history="1">
        <w:r w:rsidR="00B64B3C" w:rsidRPr="00216D9B">
          <w:rPr>
            <w:rStyle w:val="Hyperlink"/>
            <w:noProof/>
            <w:lang w:eastAsia="en-GB"/>
          </w:rPr>
          <w:t>7.2</w:t>
        </w:r>
        <w:r w:rsidR="00B64B3C">
          <w:rPr>
            <w:rFonts w:asciiTheme="minorHAnsi" w:eastAsiaTheme="minorEastAsia" w:hAnsiTheme="minorHAnsi" w:cstheme="minorBidi"/>
            <w:noProof/>
            <w:sz w:val="22"/>
            <w:szCs w:val="22"/>
            <w:lang w:val="nl-NL" w:eastAsia="nl-NL"/>
          </w:rPr>
          <w:tab/>
        </w:r>
        <w:r w:rsidR="00B64B3C" w:rsidRPr="00216D9B">
          <w:rPr>
            <w:rStyle w:val="Hyperlink"/>
            <w:noProof/>
            <w:lang w:eastAsia="en-GB"/>
          </w:rPr>
          <w:t>Education</w:t>
        </w:r>
        <w:r w:rsidR="00B64B3C">
          <w:rPr>
            <w:noProof/>
            <w:webHidden/>
          </w:rPr>
          <w:tab/>
        </w:r>
        <w:r w:rsidR="00B64B3C">
          <w:rPr>
            <w:noProof/>
            <w:webHidden/>
          </w:rPr>
          <w:fldChar w:fldCharType="begin"/>
        </w:r>
        <w:r w:rsidR="00B64B3C">
          <w:rPr>
            <w:noProof/>
            <w:webHidden/>
          </w:rPr>
          <w:instrText xml:space="preserve"> PAGEREF _Toc508203274 \h </w:instrText>
        </w:r>
        <w:r w:rsidR="00B64B3C">
          <w:rPr>
            <w:noProof/>
            <w:webHidden/>
          </w:rPr>
        </w:r>
        <w:r w:rsidR="00B64B3C">
          <w:rPr>
            <w:noProof/>
            <w:webHidden/>
          </w:rPr>
          <w:fldChar w:fldCharType="separate"/>
        </w:r>
        <w:r w:rsidR="00B64B3C">
          <w:rPr>
            <w:noProof/>
            <w:webHidden/>
          </w:rPr>
          <w:t>42</w:t>
        </w:r>
        <w:r w:rsidR="00B64B3C">
          <w:rPr>
            <w:noProof/>
            <w:webHidden/>
          </w:rPr>
          <w:fldChar w:fldCharType="end"/>
        </w:r>
      </w:hyperlink>
    </w:p>
    <w:p w14:paraId="39755A32" w14:textId="2199F4D9" w:rsidR="00B64B3C" w:rsidRDefault="00905165">
      <w:pPr>
        <w:pStyle w:val="TOC2"/>
        <w:tabs>
          <w:tab w:val="left" w:pos="1134"/>
        </w:tabs>
        <w:rPr>
          <w:rFonts w:asciiTheme="minorHAnsi" w:eastAsiaTheme="minorEastAsia" w:hAnsiTheme="minorHAnsi" w:cstheme="minorBidi"/>
          <w:noProof/>
          <w:sz w:val="22"/>
          <w:szCs w:val="22"/>
          <w:lang w:val="nl-NL" w:eastAsia="nl-NL"/>
        </w:rPr>
      </w:pPr>
      <w:hyperlink w:anchor="_Toc508203275" w:history="1">
        <w:r w:rsidR="00B64B3C" w:rsidRPr="00216D9B">
          <w:rPr>
            <w:rStyle w:val="Hyperlink"/>
            <w:noProof/>
            <w:lang w:eastAsia="en-GB"/>
          </w:rPr>
          <w:t>7.3</w:t>
        </w:r>
        <w:r w:rsidR="00B64B3C">
          <w:rPr>
            <w:rFonts w:asciiTheme="minorHAnsi" w:eastAsiaTheme="minorEastAsia" w:hAnsiTheme="minorHAnsi" w:cstheme="minorBidi"/>
            <w:noProof/>
            <w:sz w:val="22"/>
            <w:szCs w:val="22"/>
            <w:lang w:val="nl-NL" w:eastAsia="nl-NL"/>
          </w:rPr>
          <w:tab/>
        </w:r>
        <w:r w:rsidR="00B64B3C" w:rsidRPr="00216D9B">
          <w:rPr>
            <w:rStyle w:val="Hyperlink"/>
            <w:noProof/>
            <w:lang w:eastAsia="en-GB"/>
          </w:rPr>
          <w:t>Poverty and social inclusion</w:t>
        </w:r>
        <w:r w:rsidR="00B64B3C">
          <w:rPr>
            <w:noProof/>
            <w:webHidden/>
          </w:rPr>
          <w:tab/>
        </w:r>
        <w:r w:rsidR="00B64B3C">
          <w:rPr>
            <w:noProof/>
            <w:webHidden/>
          </w:rPr>
          <w:fldChar w:fldCharType="begin"/>
        </w:r>
        <w:r w:rsidR="00B64B3C">
          <w:rPr>
            <w:noProof/>
            <w:webHidden/>
          </w:rPr>
          <w:instrText xml:space="preserve"> PAGEREF _Toc508203275 \h </w:instrText>
        </w:r>
        <w:r w:rsidR="00B64B3C">
          <w:rPr>
            <w:noProof/>
            <w:webHidden/>
          </w:rPr>
        </w:r>
        <w:r w:rsidR="00B64B3C">
          <w:rPr>
            <w:noProof/>
            <w:webHidden/>
          </w:rPr>
          <w:fldChar w:fldCharType="separate"/>
        </w:r>
        <w:r w:rsidR="00B64B3C">
          <w:rPr>
            <w:noProof/>
            <w:webHidden/>
          </w:rPr>
          <w:t>42</w:t>
        </w:r>
        <w:r w:rsidR="00B64B3C">
          <w:rPr>
            <w:noProof/>
            <w:webHidden/>
          </w:rPr>
          <w:fldChar w:fldCharType="end"/>
        </w:r>
      </w:hyperlink>
    </w:p>
    <w:p w14:paraId="7A52DCF7" w14:textId="0EBD083D" w:rsidR="004D01C6" w:rsidRPr="00C54EA3" w:rsidRDefault="00CF028D" w:rsidP="00C54EA3">
      <w:pPr>
        <w:jc w:val="both"/>
      </w:pPr>
      <w:r w:rsidRPr="00C54EA3">
        <w:fldChar w:fldCharType="end"/>
      </w:r>
    </w:p>
    <w:p w14:paraId="57F3F747" w14:textId="77777777" w:rsidR="004D01C6" w:rsidRPr="00C54EA3" w:rsidRDefault="004D01C6" w:rsidP="00C54EA3">
      <w:pPr>
        <w:pStyle w:val="Heading1"/>
        <w:jc w:val="both"/>
        <w:rPr>
          <w:sz w:val="24"/>
          <w:szCs w:val="24"/>
        </w:rPr>
      </w:pPr>
      <w:bookmarkStart w:id="0" w:name="_Toc508203247"/>
      <w:r w:rsidRPr="00C54EA3">
        <w:rPr>
          <w:sz w:val="24"/>
          <w:szCs w:val="24"/>
        </w:rPr>
        <w:lastRenderedPageBreak/>
        <w:t>Summary of the overall situation and challenges</w:t>
      </w:r>
      <w:bookmarkEnd w:id="0"/>
    </w:p>
    <w:p w14:paraId="45623470" w14:textId="77777777" w:rsidR="00954863" w:rsidRPr="00C54EA3" w:rsidRDefault="00954863" w:rsidP="00C54EA3">
      <w:pPr>
        <w:jc w:val="both"/>
      </w:pPr>
    </w:p>
    <w:p w14:paraId="638277C4" w14:textId="56D9607D" w:rsidR="00954863" w:rsidRPr="00C54EA3" w:rsidRDefault="009C7CC3" w:rsidP="00C54EA3">
      <w:pPr>
        <w:jc w:val="both"/>
      </w:pPr>
      <w:r w:rsidRPr="00C54EA3">
        <w:rPr>
          <w:color w:val="000000" w:themeColor="text1"/>
        </w:rPr>
        <w:t xml:space="preserve">During </w:t>
      </w:r>
      <w:r w:rsidR="00A93E85" w:rsidRPr="00C54EA3">
        <w:rPr>
          <w:color w:val="000000" w:themeColor="text1"/>
        </w:rPr>
        <w:t>2016</w:t>
      </w:r>
      <w:r w:rsidRPr="00C54EA3">
        <w:rPr>
          <w:color w:val="000000" w:themeColor="text1"/>
        </w:rPr>
        <w:t xml:space="preserve"> and 2017</w:t>
      </w:r>
      <w:r w:rsidR="00A93E85" w:rsidRPr="00C54EA3">
        <w:rPr>
          <w:color w:val="000000" w:themeColor="text1"/>
        </w:rPr>
        <w:t>,</w:t>
      </w:r>
      <w:r w:rsidR="0062276E" w:rsidRPr="00C54EA3">
        <w:rPr>
          <w:color w:val="000000" w:themeColor="text1"/>
        </w:rPr>
        <w:t xml:space="preserve"> </w:t>
      </w:r>
      <w:r w:rsidR="00BB1102" w:rsidRPr="00C54EA3">
        <w:rPr>
          <w:color w:val="000000" w:themeColor="text1"/>
        </w:rPr>
        <w:t>Romania has moved into a new stage concern</w:t>
      </w:r>
      <w:r w:rsidR="00AC73A2" w:rsidRPr="00C54EA3">
        <w:rPr>
          <w:color w:val="000000" w:themeColor="text1"/>
        </w:rPr>
        <w:t>ing</w:t>
      </w:r>
      <w:r w:rsidR="00BB1102" w:rsidRPr="00C54EA3">
        <w:rPr>
          <w:color w:val="000000" w:themeColor="text1"/>
        </w:rPr>
        <w:t xml:space="preserve"> the approach towards inclusion of people with disabilities in the spirit of the CRPD</w:t>
      </w:r>
      <w:r w:rsidR="008D0EC1" w:rsidRPr="00C54EA3">
        <w:rPr>
          <w:color w:val="000000" w:themeColor="text1"/>
        </w:rPr>
        <w:t>, which was ratified in 2011 followed by an initial state report in 2013</w:t>
      </w:r>
      <w:r w:rsidR="00BB1102" w:rsidRPr="00C54EA3">
        <w:rPr>
          <w:color w:val="000000" w:themeColor="text1"/>
        </w:rPr>
        <w:t xml:space="preserve">. </w:t>
      </w:r>
      <w:r w:rsidR="00613A78" w:rsidRPr="00C54EA3">
        <w:t xml:space="preserve">The Romanian Government </w:t>
      </w:r>
      <w:r w:rsidR="00A93E85" w:rsidRPr="00C54EA3">
        <w:t>adopted, in September 2016,</w:t>
      </w:r>
      <w:r w:rsidR="00613A78" w:rsidRPr="00C54EA3">
        <w:t xml:space="preserve"> </w:t>
      </w:r>
      <w:r w:rsidR="00A93E85" w:rsidRPr="00C54EA3">
        <w:t>the</w:t>
      </w:r>
      <w:r w:rsidR="00613A78" w:rsidRPr="00C54EA3">
        <w:t xml:space="preserve"> new National Strategy called </w:t>
      </w:r>
      <w:r w:rsidR="00613A78" w:rsidRPr="00C54EA3">
        <w:rPr>
          <w:i/>
        </w:rPr>
        <w:t>A Society without Barriers for People with Disabilities 201</w:t>
      </w:r>
      <w:r w:rsidR="00A93E85" w:rsidRPr="00C54EA3">
        <w:rPr>
          <w:i/>
        </w:rPr>
        <w:t>6</w:t>
      </w:r>
      <w:r w:rsidR="00613A78" w:rsidRPr="00C54EA3">
        <w:rPr>
          <w:i/>
        </w:rPr>
        <w:t xml:space="preserve"> – 2020 </w:t>
      </w:r>
      <w:r w:rsidR="00613A78" w:rsidRPr="00C54EA3">
        <w:t xml:space="preserve">and a corresponding </w:t>
      </w:r>
      <w:r w:rsidR="00613A78" w:rsidRPr="00C54EA3">
        <w:rPr>
          <w:i/>
        </w:rPr>
        <w:t xml:space="preserve">National Action Plan. </w:t>
      </w:r>
    </w:p>
    <w:p w14:paraId="1F397432" w14:textId="77777777" w:rsidR="00613A78" w:rsidRPr="00C54EA3" w:rsidRDefault="00613A78" w:rsidP="00C54EA3">
      <w:pPr>
        <w:jc w:val="both"/>
      </w:pPr>
    </w:p>
    <w:p w14:paraId="7A2B5B68" w14:textId="10A80283" w:rsidR="00613A78" w:rsidRPr="00C54EA3" w:rsidRDefault="00613A78" w:rsidP="00C54EA3">
      <w:pPr>
        <w:jc w:val="both"/>
        <w:rPr>
          <w:i/>
        </w:rPr>
      </w:pPr>
      <w:r w:rsidRPr="00C54EA3">
        <w:t>At the same time, the Operational Programs using European Structural and Investment Funds for 2014</w:t>
      </w:r>
      <w:r w:rsidR="008D0EC1" w:rsidRPr="00C54EA3">
        <w:t>-</w:t>
      </w:r>
      <w:r w:rsidRPr="00C54EA3">
        <w:t>2020 – particularly the Regional Operational Program and the Human Capital Operational Program do provide significant ground/resources for developing a new approach in</w:t>
      </w:r>
      <w:r w:rsidR="00450FC1" w:rsidRPr="00C54EA3">
        <w:t xml:space="preserve"> </w:t>
      </w:r>
      <w:r w:rsidRPr="00C54EA3">
        <w:t xml:space="preserve">social care for people with disabilities, focusing on </w:t>
      </w:r>
      <w:r w:rsidR="00CF598E" w:rsidRPr="00C54EA3">
        <w:rPr>
          <w:i/>
        </w:rPr>
        <w:t>deinstitutionalis</w:t>
      </w:r>
      <w:r w:rsidRPr="00C54EA3">
        <w:rPr>
          <w:i/>
        </w:rPr>
        <w:t>ation/transition from residential to community-based services</w:t>
      </w:r>
      <w:r w:rsidR="009C7CC3" w:rsidRPr="00C54EA3">
        <w:rPr>
          <w:i/>
        </w:rPr>
        <w:t xml:space="preserve"> and better access to educational training </w:t>
      </w:r>
      <w:proofErr w:type="gramStart"/>
      <w:r w:rsidR="009C7CC3" w:rsidRPr="00C54EA3">
        <w:rPr>
          <w:i/>
        </w:rPr>
        <w:t>so as to</w:t>
      </w:r>
      <w:proofErr w:type="gramEnd"/>
      <w:r w:rsidR="009C7CC3" w:rsidRPr="00C54EA3">
        <w:rPr>
          <w:i/>
        </w:rPr>
        <w:t xml:space="preserve"> become active on labour market</w:t>
      </w:r>
      <w:r w:rsidRPr="00C54EA3">
        <w:rPr>
          <w:i/>
        </w:rPr>
        <w:t>.</w:t>
      </w:r>
    </w:p>
    <w:p w14:paraId="6C5E9C4A" w14:textId="77777777" w:rsidR="00613A78" w:rsidRPr="00C54EA3" w:rsidRDefault="00613A78" w:rsidP="00C54EA3">
      <w:pPr>
        <w:jc w:val="both"/>
        <w:rPr>
          <w:i/>
        </w:rPr>
      </w:pPr>
    </w:p>
    <w:p w14:paraId="049EB84D" w14:textId="7D4695BB" w:rsidR="00613A78" w:rsidRPr="00C54EA3" w:rsidRDefault="00613A78" w:rsidP="00C54EA3">
      <w:pPr>
        <w:jc w:val="both"/>
        <w:rPr>
          <w:color w:val="000000" w:themeColor="text1"/>
        </w:rPr>
      </w:pPr>
      <w:r w:rsidRPr="00C54EA3">
        <w:rPr>
          <w:color w:val="000000" w:themeColor="text1"/>
        </w:rPr>
        <w:t xml:space="preserve">However, when it comes to the actual indicators </w:t>
      </w:r>
      <w:r w:rsidR="00AC73A2" w:rsidRPr="00C54EA3">
        <w:rPr>
          <w:color w:val="000000" w:themeColor="text1"/>
        </w:rPr>
        <w:t>on</w:t>
      </w:r>
      <w:r w:rsidRPr="00C54EA3">
        <w:rPr>
          <w:color w:val="000000" w:themeColor="text1"/>
        </w:rPr>
        <w:t xml:space="preserve"> the situation in Romania, things are still precarious for people with disabilities: with an employment rate of only 15</w:t>
      </w:r>
      <w:r w:rsidR="00AC73A2" w:rsidRPr="00C54EA3">
        <w:rPr>
          <w:color w:val="000000" w:themeColor="text1"/>
        </w:rPr>
        <w:t>.</w:t>
      </w:r>
      <w:r w:rsidRPr="00C54EA3">
        <w:rPr>
          <w:color w:val="000000" w:themeColor="text1"/>
        </w:rPr>
        <w:t>5</w:t>
      </w:r>
      <w:r w:rsidR="0062276E" w:rsidRPr="00C54EA3">
        <w:rPr>
          <w:color w:val="000000" w:themeColor="text1"/>
        </w:rPr>
        <w:t>°</w:t>
      </w:r>
      <w:r w:rsidRPr="00C54EA3">
        <w:rPr>
          <w:color w:val="000000" w:themeColor="text1"/>
        </w:rPr>
        <w:t>%</w:t>
      </w:r>
      <w:r w:rsidRPr="00C54EA3">
        <w:rPr>
          <w:rStyle w:val="FootnoteReference"/>
          <w:color w:val="000000" w:themeColor="text1"/>
        </w:rPr>
        <w:footnoteReference w:id="1"/>
      </w:r>
      <w:r w:rsidRPr="00C54EA3">
        <w:rPr>
          <w:color w:val="000000" w:themeColor="text1"/>
        </w:rPr>
        <w:t xml:space="preserve"> and </w:t>
      </w:r>
      <w:r w:rsidR="008D0EC1" w:rsidRPr="00C54EA3">
        <w:rPr>
          <w:color w:val="000000" w:themeColor="text1"/>
        </w:rPr>
        <w:t>a</w:t>
      </w:r>
      <w:r w:rsidR="009C7CC3" w:rsidRPr="00C54EA3">
        <w:rPr>
          <w:color w:val="000000" w:themeColor="text1"/>
        </w:rPr>
        <w:t xml:space="preserve"> growing rate of early school leavers </w:t>
      </w:r>
      <w:r w:rsidRPr="00C54EA3">
        <w:rPr>
          <w:color w:val="000000" w:themeColor="text1"/>
        </w:rPr>
        <w:t xml:space="preserve">Romania is far from being an inclusive country for people with disabilities, despite political publicly assumed commitments. </w:t>
      </w:r>
      <w:r w:rsidR="008D0EC1" w:rsidRPr="00C54EA3">
        <w:rPr>
          <w:color w:val="000000" w:themeColor="text1"/>
        </w:rPr>
        <w:t>The exceptionally low activity rate demands attention, together with a high risk of poverty or social exclusion for this population group. These gaps were strongly acknowledged in the 2017 European Semester process but there is a need for evidence of clear and well implemented policy measures to address them in 2018.</w:t>
      </w:r>
    </w:p>
    <w:p w14:paraId="5811075C" w14:textId="77777777" w:rsidR="009C7CC3" w:rsidRPr="00C54EA3" w:rsidRDefault="009C7CC3" w:rsidP="00C54EA3">
      <w:pPr>
        <w:jc w:val="both"/>
        <w:rPr>
          <w:color w:val="000000" w:themeColor="text1"/>
        </w:rPr>
      </w:pPr>
    </w:p>
    <w:p w14:paraId="205446C4" w14:textId="1EE7256C" w:rsidR="009C7CC3" w:rsidRPr="00C54EA3" w:rsidRDefault="009C7CC3" w:rsidP="00C54EA3">
      <w:pPr>
        <w:jc w:val="both"/>
        <w:rPr>
          <w:color w:val="0D0D0D" w:themeColor="text1" w:themeTint="F2"/>
        </w:rPr>
      </w:pPr>
      <w:r w:rsidRPr="00C54EA3">
        <w:rPr>
          <w:color w:val="0D0D0D" w:themeColor="text1" w:themeTint="F2"/>
        </w:rPr>
        <w:t>In 2017, several laws have been issued or modifie</w:t>
      </w:r>
      <w:r w:rsidR="008D0EC1" w:rsidRPr="00C54EA3">
        <w:rPr>
          <w:color w:val="0D0D0D" w:themeColor="text1" w:themeTint="F2"/>
        </w:rPr>
        <w:t>d</w:t>
      </w:r>
      <w:r w:rsidRPr="00C54EA3">
        <w:rPr>
          <w:color w:val="0D0D0D" w:themeColor="text1" w:themeTint="F2"/>
        </w:rPr>
        <w:t xml:space="preserve">, </w:t>
      </w:r>
      <w:proofErr w:type="gramStart"/>
      <w:r w:rsidRPr="00C54EA3">
        <w:rPr>
          <w:color w:val="0D0D0D" w:themeColor="text1" w:themeTint="F2"/>
        </w:rPr>
        <w:t>so as to</w:t>
      </w:r>
      <w:proofErr w:type="gramEnd"/>
      <w:r w:rsidRPr="00C54EA3">
        <w:rPr>
          <w:color w:val="0D0D0D" w:themeColor="text1" w:themeTint="F2"/>
        </w:rPr>
        <w:t xml:space="preserve"> create new facilities for people with disabilities. The most important are the amendments on Law. no. 448/2006 – less bureaucracy for children with disabilities and adults in receiving the social benefits they are entitle</w:t>
      </w:r>
      <w:r w:rsidR="008D0EC1" w:rsidRPr="00C54EA3">
        <w:rPr>
          <w:color w:val="0D0D0D" w:themeColor="text1" w:themeTint="F2"/>
        </w:rPr>
        <w:t>d</w:t>
      </w:r>
      <w:r w:rsidRPr="00C54EA3">
        <w:rPr>
          <w:color w:val="0D0D0D" w:themeColor="text1" w:themeTint="F2"/>
        </w:rPr>
        <w:t xml:space="preserve"> to, higher social benefits and disability indemnities for people with disabilities and their caregivers and official recognition of signs languages are just some of the changes adopted in the summer of 2017 in terms of legislation for persons with disabilities</w:t>
      </w:r>
      <w:r w:rsidR="00960B33" w:rsidRPr="00C54EA3">
        <w:rPr>
          <w:color w:val="0D0D0D" w:themeColor="text1" w:themeTint="F2"/>
        </w:rPr>
        <w:t>.</w:t>
      </w:r>
      <w:r w:rsidRPr="00C54EA3">
        <w:rPr>
          <w:rStyle w:val="FootnoteReference"/>
          <w:color w:val="0D0D0D" w:themeColor="text1" w:themeTint="F2"/>
        </w:rPr>
        <w:footnoteReference w:id="2"/>
      </w:r>
      <w:r w:rsidRPr="00C54EA3">
        <w:rPr>
          <w:color w:val="0D0D0D" w:themeColor="text1" w:themeTint="F2"/>
        </w:rPr>
        <w:t xml:space="preserve"> On the other side, protected units have lost fiscal benefits and </w:t>
      </w:r>
      <w:r w:rsidR="00D67C16" w:rsidRPr="00C54EA3">
        <w:rPr>
          <w:color w:val="0D0D0D" w:themeColor="text1" w:themeTint="F2"/>
        </w:rPr>
        <w:t>about 2</w:t>
      </w:r>
      <w:r w:rsidR="008D0EC1" w:rsidRPr="00C54EA3">
        <w:rPr>
          <w:color w:val="0D0D0D" w:themeColor="text1" w:themeTint="F2"/>
        </w:rPr>
        <w:t>,</w:t>
      </w:r>
      <w:r w:rsidR="00D67C16" w:rsidRPr="00C54EA3">
        <w:rPr>
          <w:color w:val="0D0D0D" w:themeColor="text1" w:themeTint="F2"/>
        </w:rPr>
        <w:t>000 workers with disability are expected to lose their jobs.</w:t>
      </w:r>
      <w:r w:rsidR="003511C1" w:rsidRPr="00C54EA3">
        <w:rPr>
          <w:color w:val="0D0D0D" w:themeColor="text1" w:themeTint="F2"/>
        </w:rPr>
        <w:t xml:space="preserve"> General </w:t>
      </w:r>
      <w:r w:rsidR="00752418" w:rsidRPr="00C54EA3">
        <w:rPr>
          <w:color w:val="0D0D0D" w:themeColor="text1" w:themeTint="F2"/>
        </w:rPr>
        <w:t xml:space="preserve">reforms in </w:t>
      </w:r>
      <w:r w:rsidR="003511C1" w:rsidRPr="00C54EA3">
        <w:rPr>
          <w:color w:val="0D0D0D" w:themeColor="text1" w:themeTint="F2"/>
        </w:rPr>
        <w:t xml:space="preserve">employment and educational </w:t>
      </w:r>
      <w:r w:rsidR="00752418" w:rsidRPr="00C54EA3">
        <w:rPr>
          <w:color w:val="0D0D0D" w:themeColor="text1" w:themeTint="F2"/>
        </w:rPr>
        <w:t xml:space="preserve">policies </w:t>
      </w:r>
      <w:r w:rsidR="003511C1" w:rsidRPr="00C54EA3">
        <w:rPr>
          <w:color w:val="0D0D0D" w:themeColor="text1" w:themeTint="F2"/>
        </w:rPr>
        <w:t>may help some</w:t>
      </w:r>
      <w:r w:rsidR="00752418" w:rsidRPr="00C54EA3">
        <w:rPr>
          <w:color w:val="0D0D0D" w:themeColor="text1" w:themeTint="F2"/>
        </w:rPr>
        <w:t xml:space="preserve"> people</w:t>
      </w:r>
      <w:r w:rsidR="003511C1" w:rsidRPr="00C54EA3">
        <w:rPr>
          <w:color w:val="0D0D0D" w:themeColor="text1" w:themeTint="F2"/>
        </w:rPr>
        <w:t xml:space="preserve"> but stronger measures are needed to close the wide disability gaps.</w:t>
      </w:r>
    </w:p>
    <w:p w14:paraId="5C2B87B9" w14:textId="77777777" w:rsidR="009C7CC3" w:rsidRPr="00C54EA3" w:rsidRDefault="009C7CC3" w:rsidP="00C54EA3">
      <w:pPr>
        <w:jc w:val="both"/>
        <w:rPr>
          <w:color w:val="0D0D0D" w:themeColor="text1" w:themeTint="F2"/>
        </w:rPr>
      </w:pPr>
    </w:p>
    <w:p w14:paraId="0D0298BB" w14:textId="6ADDEE79" w:rsidR="009C7CC3" w:rsidRPr="00C54EA3" w:rsidRDefault="009C7CC3" w:rsidP="00C54EA3">
      <w:pPr>
        <w:jc w:val="both"/>
        <w:rPr>
          <w:color w:val="0D0D0D" w:themeColor="text1" w:themeTint="F2"/>
        </w:rPr>
      </w:pPr>
      <w:r w:rsidRPr="00C54EA3">
        <w:rPr>
          <w:color w:val="0D0D0D" w:themeColor="text1" w:themeTint="F2"/>
        </w:rPr>
        <w:t xml:space="preserve">Still, the last European </w:t>
      </w:r>
      <w:r w:rsidR="008D0EC1" w:rsidRPr="00C54EA3">
        <w:rPr>
          <w:color w:val="0D0D0D" w:themeColor="text1" w:themeTint="F2"/>
        </w:rPr>
        <w:t>S</w:t>
      </w:r>
      <w:r w:rsidRPr="00C54EA3">
        <w:rPr>
          <w:color w:val="0D0D0D" w:themeColor="text1" w:themeTint="F2"/>
        </w:rPr>
        <w:t xml:space="preserve">emester </w:t>
      </w:r>
      <w:r w:rsidR="008D0EC1" w:rsidRPr="00C54EA3">
        <w:rPr>
          <w:color w:val="0D0D0D" w:themeColor="text1" w:themeTint="F2"/>
        </w:rPr>
        <w:t xml:space="preserve">period </w:t>
      </w:r>
      <w:r w:rsidRPr="00C54EA3">
        <w:rPr>
          <w:color w:val="0D0D0D" w:themeColor="text1" w:themeTint="F2"/>
        </w:rPr>
        <w:t>has been full of events and d</w:t>
      </w:r>
      <w:r w:rsidR="005E5CB3" w:rsidRPr="00C54EA3">
        <w:rPr>
          <w:color w:val="0D0D0D" w:themeColor="text1" w:themeTint="F2"/>
        </w:rPr>
        <w:t>ata on disability in Romania. If</w:t>
      </w:r>
      <w:r w:rsidRPr="00C54EA3">
        <w:rPr>
          <w:color w:val="0D0D0D" w:themeColor="text1" w:themeTint="F2"/>
        </w:rPr>
        <w:t xml:space="preserve"> some revealed terrifying situations on the living conditions people with disabilities have (see the case of the </w:t>
      </w:r>
      <w:proofErr w:type="spellStart"/>
      <w:r w:rsidRPr="00C54EA3">
        <w:rPr>
          <w:color w:val="0D0D0D" w:themeColor="text1" w:themeTint="F2"/>
        </w:rPr>
        <w:t>Măciuca</w:t>
      </w:r>
      <w:proofErr w:type="spellEnd"/>
      <w:r w:rsidRPr="00C54EA3">
        <w:rPr>
          <w:color w:val="0D0D0D" w:themeColor="text1" w:themeTint="F2"/>
        </w:rPr>
        <w:t xml:space="preserve"> Centre, </w:t>
      </w:r>
      <w:proofErr w:type="spellStart"/>
      <w:r w:rsidRPr="00C54EA3">
        <w:rPr>
          <w:color w:val="0D0D0D" w:themeColor="text1" w:themeTint="F2"/>
        </w:rPr>
        <w:t>Vâlcea</w:t>
      </w:r>
      <w:proofErr w:type="spellEnd"/>
      <w:r w:rsidRPr="00C54EA3">
        <w:rPr>
          <w:color w:val="0D0D0D" w:themeColor="text1" w:themeTint="F2"/>
        </w:rPr>
        <w:t xml:space="preserve"> country), some reflected relevant solutions taken to improve the life of people with disabilities.</w:t>
      </w:r>
    </w:p>
    <w:p w14:paraId="0CFE2210" w14:textId="77777777" w:rsidR="00613A78" w:rsidRPr="00C54EA3" w:rsidRDefault="00613A78" w:rsidP="00C54EA3">
      <w:pPr>
        <w:jc w:val="both"/>
        <w:rPr>
          <w:color w:val="FF0000"/>
        </w:rPr>
      </w:pPr>
    </w:p>
    <w:p w14:paraId="5DF26F4B" w14:textId="77777777" w:rsidR="00EB54C7" w:rsidRPr="00C54EA3" w:rsidRDefault="00EB54C7" w:rsidP="00C54EA3">
      <w:pPr>
        <w:jc w:val="both"/>
        <w:rPr>
          <w:rFonts w:eastAsia="SimSun"/>
          <w:b/>
          <w:bCs/>
        </w:rPr>
      </w:pPr>
    </w:p>
    <w:p w14:paraId="1AF8EC74" w14:textId="77777777" w:rsidR="001341CA" w:rsidRPr="00C54EA3" w:rsidRDefault="001341CA" w:rsidP="00C54EA3">
      <w:pPr>
        <w:pStyle w:val="Heading1"/>
        <w:jc w:val="both"/>
        <w:rPr>
          <w:sz w:val="24"/>
          <w:szCs w:val="24"/>
        </w:rPr>
      </w:pPr>
      <w:bookmarkStart w:id="1" w:name="_Toc508203248"/>
      <w:r w:rsidRPr="00C54EA3">
        <w:rPr>
          <w:sz w:val="24"/>
          <w:szCs w:val="24"/>
        </w:rPr>
        <w:lastRenderedPageBreak/>
        <w:t xml:space="preserve">Assessment of the situation </w:t>
      </w:r>
      <w:r w:rsidR="000D320A" w:rsidRPr="00C54EA3">
        <w:rPr>
          <w:sz w:val="24"/>
          <w:szCs w:val="24"/>
        </w:rPr>
        <w:t xml:space="preserve">of disabled people </w:t>
      </w:r>
      <w:r w:rsidRPr="00C54EA3">
        <w:rPr>
          <w:sz w:val="24"/>
          <w:szCs w:val="24"/>
        </w:rPr>
        <w:t>with respect to the Europe 2020 headline targets</w:t>
      </w:r>
      <w:bookmarkEnd w:id="1"/>
    </w:p>
    <w:p w14:paraId="5A93E2D9" w14:textId="77777777" w:rsidR="00AF323E" w:rsidRPr="00C54EA3" w:rsidRDefault="00AF323E" w:rsidP="00C54EA3">
      <w:pPr>
        <w:jc w:val="both"/>
      </w:pPr>
    </w:p>
    <w:p w14:paraId="76728E53" w14:textId="77777777" w:rsidR="001341CA" w:rsidRPr="00C54EA3" w:rsidRDefault="00EA2651" w:rsidP="00C54EA3">
      <w:pPr>
        <w:pStyle w:val="Heading2"/>
        <w:jc w:val="both"/>
        <w:rPr>
          <w:szCs w:val="24"/>
        </w:rPr>
      </w:pPr>
      <w:bookmarkStart w:id="2" w:name="_Toc508203249"/>
      <w:r w:rsidRPr="00C54EA3">
        <w:rPr>
          <w:szCs w:val="24"/>
        </w:rPr>
        <w:t>Strategic</w:t>
      </w:r>
      <w:r w:rsidR="000D320A" w:rsidRPr="00C54EA3">
        <w:rPr>
          <w:szCs w:val="24"/>
        </w:rPr>
        <w:t xml:space="preserve"> targets</w:t>
      </w:r>
      <w:bookmarkEnd w:id="2"/>
    </w:p>
    <w:p w14:paraId="23CAEAC8" w14:textId="77777777" w:rsidR="00AF323E" w:rsidRPr="00C54EA3" w:rsidRDefault="00AF323E" w:rsidP="00C54EA3">
      <w:pPr>
        <w:jc w:val="both"/>
      </w:pPr>
    </w:p>
    <w:p w14:paraId="3A9DD266" w14:textId="77777777" w:rsidR="00B12ADE" w:rsidRPr="00C54EA3" w:rsidRDefault="00B12ADE" w:rsidP="00C54EA3">
      <w:pPr>
        <w:pStyle w:val="Caption"/>
        <w:jc w:val="both"/>
        <w:rPr>
          <w:sz w:val="24"/>
          <w:szCs w:val="24"/>
        </w:rPr>
      </w:pPr>
      <w:r w:rsidRPr="00C54EA3">
        <w:rPr>
          <w:sz w:val="24"/>
          <w:szCs w:val="24"/>
        </w:rPr>
        <w:t xml:space="preserve">Table </w:t>
      </w:r>
      <w:r w:rsidR="006C18DD" w:rsidRPr="00C54EA3">
        <w:rPr>
          <w:sz w:val="24"/>
          <w:szCs w:val="24"/>
        </w:rPr>
        <w:fldChar w:fldCharType="begin"/>
      </w:r>
      <w:r w:rsidR="006C18DD" w:rsidRPr="00C54EA3">
        <w:rPr>
          <w:sz w:val="24"/>
          <w:szCs w:val="24"/>
        </w:rPr>
        <w:instrText xml:space="preserve"> SEQ Table \* ARABIC </w:instrText>
      </w:r>
      <w:r w:rsidR="006C18DD" w:rsidRPr="00C54EA3">
        <w:rPr>
          <w:sz w:val="24"/>
          <w:szCs w:val="24"/>
        </w:rPr>
        <w:fldChar w:fldCharType="separate"/>
      </w:r>
      <w:r w:rsidR="005C3BBD" w:rsidRPr="00C54EA3">
        <w:rPr>
          <w:noProof/>
          <w:sz w:val="24"/>
          <w:szCs w:val="24"/>
        </w:rPr>
        <w:t>1</w:t>
      </w:r>
      <w:r w:rsidR="006C18DD" w:rsidRPr="00C54EA3">
        <w:rPr>
          <w:noProof/>
          <w:sz w:val="24"/>
          <w:szCs w:val="24"/>
        </w:rPr>
        <w:fldChar w:fldCharType="end"/>
      </w:r>
      <w:r w:rsidRPr="00C54EA3">
        <w:rPr>
          <w:sz w:val="24"/>
          <w:szCs w:val="24"/>
        </w:rPr>
        <w:t xml:space="preserve">: Europe 2020 and </w:t>
      </w:r>
      <w:r w:rsidR="00EA2651" w:rsidRPr="00C54EA3">
        <w:rPr>
          <w:sz w:val="24"/>
          <w:szCs w:val="24"/>
        </w:rPr>
        <w:t xml:space="preserve">agreed </w:t>
      </w:r>
      <w:r w:rsidRPr="00C54EA3">
        <w:rPr>
          <w:sz w:val="24"/>
          <w:szCs w:val="24"/>
        </w:rPr>
        <w:t>national targets</w:t>
      </w:r>
      <w:r w:rsidR="00DC521C" w:rsidRPr="00C54EA3">
        <w:rPr>
          <w:sz w:val="24"/>
          <w:szCs w:val="24"/>
        </w:rPr>
        <w:t xml:space="preserve"> for the general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19"/>
      </w:tblGrid>
      <w:tr w:rsidR="00B12ADE" w:rsidRPr="00C54EA3" w14:paraId="7976550C" w14:textId="77777777" w:rsidTr="00B12ADE">
        <w:tc>
          <w:tcPr>
            <w:tcW w:w="1667" w:type="pct"/>
            <w:shd w:val="clear" w:color="auto" w:fill="auto"/>
          </w:tcPr>
          <w:p w14:paraId="539D616E" w14:textId="77777777" w:rsidR="00B12ADE" w:rsidRPr="00C54EA3" w:rsidRDefault="00B12ADE" w:rsidP="00C54EA3">
            <w:pPr>
              <w:jc w:val="both"/>
            </w:pPr>
          </w:p>
        </w:tc>
        <w:tc>
          <w:tcPr>
            <w:tcW w:w="1667" w:type="pct"/>
            <w:shd w:val="clear" w:color="auto" w:fill="auto"/>
          </w:tcPr>
          <w:p w14:paraId="57AF92A6" w14:textId="77777777" w:rsidR="00B12ADE" w:rsidRPr="00C54EA3" w:rsidRDefault="00B12ADE" w:rsidP="00C54EA3">
            <w:r w:rsidRPr="00C54EA3">
              <w:t>Europe 2020 targets</w:t>
            </w:r>
          </w:p>
        </w:tc>
        <w:tc>
          <w:tcPr>
            <w:tcW w:w="1666" w:type="pct"/>
            <w:shd w:val="clear" w:color="auto" w:fill="auto"/>
          </w:tcPr>
          <w:p w14:paraId="0599D468" w14:textId="77777777" w:rsidR="00B12ADE" w:rsidRPr="00C54EA3" w:rsidRDefault="00B12ADE" w:rsidP="00C54EA3">
            <w:r w:rsidRPr="00C54EA3">
              <w:t>National targets</w:t>
            </w:r>
            <w:r w:rsidR="00DC521C" w:rsidRPr="00C54EA3">
              <w:rPr>
                <w:rStyle w:val="FootnoteReference"/>
                <w:bCs/>
              </w:rPr>
              <w:footnoteReference w:id="3"/>
            </w:r>
          </w:p>
        </w:tc>
      </w:tr>
      <w:tr w:rsidR="00B12ADE" w:rsidRPr="00C54EA3" w14:paraId="6A2341BC" w14:textId="77777777" w:rsidTr="00B12ADE">
        <w:tc>
          <w:tcPr>
            <w:tcW w:w="1667" w:type="pct"/>
            <w:shd w:val="clear" w:color="auto" w:fill="auto"/>
          </w:tcPr>
          <w:p w14:paraId="4BA9A133" w14:textId="77777777" w:rsidR="00B12ADE" w:rsidRPr="00C54EA3" w:rsidRDefault="00B12ADE" w:rsidP="00C54EA3">
            <w:r w:rsidRPr="00C54EA3">
              <w:t>Employment</w:t>
            </w:r>
          </w:p>
        </w:tc>
        <w:tc>
          <w:tcPr>
            <w:tcW w:w="1667" w:type="pct"/>
            <w:shd w:val="clear" w:color="auto" w:fill="auto"/>
          </w:tcPr>
          <w:p w14:paraId="4599F479" w14:textId="77777777" w:rsidR="00B12ADE" w:rsidRPr="00C54EA3" w:rsidRDefault="00B12ADE" w:rsidP="00C54EA3">
            <w:r w:rsidRPr="00C54EA3">
              <w:t xml:space="preserve">75% of the </w:t>
            </w:r>
            <w:proofErr w:type="gramStart"/>
            <w:r w:rsidRPr="00C54EA3">
              <w:t>20-64 year-olds</w:t>
            </w:r>
            <w:proofErr w:type="gramEnd"/>
            <w:r w:rsidRPr="00C54EA3">
              <w:t xml:space="preserve"> to be employed</w:t>
            </w:r>
          </w:p>
        </w:tc>
        <w:tc>
          <w:tcPr>
            <w:tcW w:w="1666" w:type="pct"/>
            <w:shd w:val="clear" w:color="auto" w:fill="auto"/>
          </w:tcPr>
          <w:p w14:paraId="3E44A2B8" w14:textId="77777777" w:rsidR="00B12ADE" w:rsidRPr="00C54EA3" w:rsidRDefault="00AE3BFB" w:rsidP="00C54EA3">
            <w:r w:rsidRPr="00C54EA3">
              <w:t>70%</w:t>
            </w:r>
          </w:p>
        </w:tc>
      </w:tr>
      <w:tr w:rsidR="00B12ADE" w:rsidRPr="00C54EA3" w14:paraId="5879E65D" w14:textId="77777777" w:rsidTr="00B12ADE">
        <w:tc>
          <w:tcPr>
            <w:tcW w:w="1667" w:type="pct"/>
            <w:vMerge w:val="restart"/>
            <w:shd w:val="clear" w:color="auto" w:fill="auto"/>
          </w:tcPr>
          <w:p w14:paraId="659DC1C8" w14:textId="77777777" w:rsidR="00B12ADE" w:rsidRPr="00C54EA3" w:rsidRDefault="00B12ADE" w:rsidP="00C54EA3">
            <w:r w:rsidRPr="00C54EA3">
              <w:t>Education</w:t>
            </w:r>
          </w:p>
        </w:tc>
        <w:tc>
          <w:tcPr>
            <w:tcW w:w="1667" w:type="pct"/>
            <w:shd w:val="clear" w:color="auto" w:fill="auto"/>
          </w:tcPr>
          <w:p w14:paraId="701FF27D" w14:textId="77777777" w:rsidR="00B12ADE" w:rsidRPr="00C54EA3" w:rsidRDefault="00B12ADE" w:rsidP="00C54EA3">
            <w:r w:rsidRPr="00C54EA3">
              <w:t>Reducing the rates of early school leaving below 10%</w:t>
            </w:r>
          </w:p>
        </w:tc>
        <w:tc>
          <w:tcPr>
            <w:tcW w:w="1666" w:type="pct"/>
            <w:shd w:val="clear" w:color="auto" w:fill="auto"/>
          </w:tcPr>
          <w:p w14:paraId="14A6A7A3" w14:textId="77777777" w:rsidR="00B12ADE" w:rsidRPr="00C54EA3" w:rsidRDefault="00AE3BFB" w:rsidP="00C54EA3">
            <w:r w:rsidRPr="00C54EA3">
              <w:t>11.3%</w:t>
            </w:r>
          </w:p>
        </w:tc>
      </w:tr>
      <w:tr w:rsidR="00B12ADE" w:rsidRPr="00C54EA3" w14:paraId="7B035090" w14:textId="77777777" w:rsidTr="00B12ADE">
        <w:tc>
          <w:tcPr>
            <w:tcW w:w="1667" w:type="pct"/>
            <w:vMerge/>
            <w:shd w:val="clear" w:color="auto" w:fill="auto"/>
          </w:tcPr>
          <w:p w14:paraId="578768EE" w14:textId="77777777" w:rsidR="00B12ADE" w:rsidRPr="00C54EA3" w:rsidRDefault="00B12ADE" w:rsidP="00C54EA3"/>
        </w:tc>
        <w:tc>
          <w:tcPr>
            <w:tcW w:w="1667" w:type="pct"/>
            <w:shd w:val="clear" w:color="auto" w:fill="auto"/>
          </w:tcPr>
          <w:p w14:paraId="00D168ED" w14:textId="77777777" w:rsidR="00B12ADE" w:rsidRPr="00C54EA3" w:rsidRDefault="00B12ADE" w:rsidP="00C54EA3">
            <w:r w:rsidRPr="00C54EA3">
              <w:t>At least 40% of 30-34–year-olds completing third level education</w:t>
            </w:r>
          </w:p>
        </w:tc>
        <w:tc>
          <w:tcPr>
            <w:tcW w:w="1666" w:type="pct"/>
            <w:shd w:val="clear" w:color="auto" w:fill="auto"/>
          </w:tcPr>
          <w:p w14:paraId="7CB3063D" w14:textId="77777777" w:rsidR="00B12ADE" w:rsidRPr="00C54EA3" w:rsidRDefault="00AE3BFB" w:rsidP="00C54EA3">
            <w:r w:rsidRPr="00C54EA3">
              <w:t>26.7%</w:t>
            </w:r>
          </w:p>
        </w:tc>
      </w:tr>
      <w:tr w:rsidR="00B12ADE" w:rsidRPr="00C54EA3" w14:paraId="0539F1C0" w14:textId="77777777" w:rsidTr="00B12ADE">
        <w:tc>
          <w:tcPr>
            <w:tcW w:w="1667" w:type="pct"/>
            <w:shd w:val="clear" w:color="auto" w:fill="auto"/>
          </w:tcPr>
          <w:p w14:paraId="49369A2D" w14:textId="77777777" w:rsidR="00B12ADE" w:rsidRPr="00C54EA3" w:rsidRDefault="00B12ADE" w:rsidP="00C54EA3">
            <w:r w:rsidRPr="00C54EA3">
              <w:t>Fighting poverty and social exclusion</w:t>
            </w:r>
          </w:p>
        </w:tc>
        <w:tc>
          <w:tcPr>
            <w:tcW w:w="1667" w:type="pct"/>
            <w:shd w:val="clear" w:color="auto" w:fill="auto"/>
          </w:tcPr>
          <w:p w14:paraId="4EC57F8C" w14:textId="77777777" w:rsidR="00B12ADE" w:rsidRPr="00C54EA3" w:rsidRDefault="00B12ADE" w:rsidP="00C54EA3">
            <w:r w:rsidRPr="00C54EA3">
              <w:t>At least 20 million fewer people in or at risk of poverty and social exclusion</w:t>
            </w:r>
          </w:p>
        </w:tc>
        <w:tc>
          <w:tcPr>
            <w:tcW w:w="1666" w:type="pct"/>
            <w:shd w:val="clear" w:color="auto" w:fill="auto"/>
          </w:tcPr>
          <w:p w14:paraId="09BAF77A" w14:textId="77777777" w:rsidR="00AE3BFB" w:rsidRPr="00C54EA3" w:rsidRDefault="00AE3BFB" w:rsidP="00C54EA3">
            <w:r w:rsidRPr="00C54EA3">
              <w:t>Reduce by 580 000 the number of people living in</w:t>
            </w:r>
          </w:p>
          <w:p w14:paraId="64B4C016" w14:textId="77777777" w:rsidR="00B12ADE" w:rsidRPr="00C54EA3" w:rsidRDefault="00AE3BFB" w:rsidP="00C54EA3">
            <w:r w:rsidRPr="00C54EA3">
              <w:t>poverty or social exclusion (compared to 2008)</w:t>
            </w:r>
          </w:p>
        </w:tc>
      </w:tr>
    </w:tbl>
    <w:p w14:paraId="1AFBF97E" w14:textId="77777777" w:rsidR="00C7318C" w:rsidRPr="00C54EA3" w:rsidRDefault="00C7318C" w:rsidP="00C54EA3">
      <w:pPr>
        <w:jc w:val="both"/>
      </w:pPr>
    </w:p>
    <w:p w14:paraId="4F9F06BA" w14:textId="77777777" w:rsidR="000336BD" w:rsidRPr="00C54EA3" w:rsidRDefault="00C13B17" w:rsidP="00C54EA3">
      <w:pPr>
        <w:pStyle w:val="Un-numberedsubheading"/>
        <w:spacing w:after="0"/>
        <w:jc w:val="both"/>
      </w:pPr>
      <w:r w:rsidRPr="00C54EA3">
        <w:t>R</w:t>
      </w:r>
      <w:r w:rsidR="00A01CD2" w:rsidRPr="00C54EA3">
        <w:t>elevant</w:t>
      </w:r>
      <w:r w:rsidR="00DC521C" w:rsidRPr="00C54EA3">
        <w:t xml:space="preserve"> </w:t>
      </w:r>
      <w:r w:rsidR="000336BD" w:rsidRPr="00C54EA3">
        <w:t>disability</w:t>
      </w:r>
      <w:r w:rsidR="004E5CCD" w:rsidRPr="00C54EA3">
        <w:t xml:space="preserve"> </w:t>
      </w:r>
      <w:r w:rsidR="000336BD" w:rsidRPr="00C54EA3">
        <w:t>ta</w:t>
      </w:r>
      <w:r w:rsidR="000336BD" w:rsidRPr="00C54EA3">
        <w:rPr>
          <w:rStyle w:val="Un-numberedsubheadingChar"/>
        </w:rPr>
        <w:t>r</w:t>
      </w:r>
      <w:r w:rsidR="000336BD" w:rsidRPr="00C54EA3">
        <w:t>gets</w:t>
      </w:r>
      <w:r w:rsidR="00DC521C" w:rsidRPr="00C54EA3">
        <w:t xml:space="preserve"> from national </w:t>
      </w:r>
      <w:r w:rsidR="005E1C80" w:rsidRPr="00C54EA3">
        <w:t xml:space="preserve">strategies or </w:t>
      </w:r>
      <w:r w:rsidR="00DC521C" w:rsidRPr="00C54EA3">
        <w:t>sources</w:t>
      </w:r>
      <w:r w:rsidR="000336BD" w:rsidRPr="00C54EA3">
        <w:t>:</w:t>
      </w:r>
    </w:p>
    <w:p w14:paraId="22D1F101" w14:textId="77777777" w:rsidR="005E1C80" w:rsidRPr="00C54EA3" w:rsidRDefault="005E1C80" w:rsidP="00C54EA3">
      <w:pPr>
        <w:jc w:val="both"/>
      </w:pPr>
    </w:p>
    <w:p w14:paraId="6B176843" w14:textId="77777777" w:rsidR="00166899" w:rsidRPr="00C54EA3" w:rsidRDefault="00166899" w:rsidP="00C54EA3">
      <w:pPr>
        <w:jc w:val="both"/>
      </w:pPr>
      <w:r w:rsidRPr="00C54EA3">
        <w:t xml:space="preserve">According to the new national Strategy </w:t>
      </w:r>
      <w:proofErr w:type="gramStart"/>
      <w:r w:rsidRPr="00C54EA3">
        <w:rPr>
          <w:i/>
        </w:rPr>
        <w:t>A</w:t>
      </w:r>
      <w:proofErr w:type="gramEnd"/>
      <w:r w:rsidRPr="00C54EA3">
        <w:rPr>
          <w:i/>
        </w:rPr>
        <w:t xml:space="preserve"> Society without barriers for people with disabilities 201</w:t>
      </w:r>
      <w:r w:rsidR="00A93E85" w:rsidRPr="00C54EA3">
        <w:rPr>
          <w:i/>
        </w:rPr>
        <w:t>6</w:t>
      </w:r>
      <w:r w:rsidR="004F2329" w:rsidRPr="00C54EA3">
        <w:rPr>
          <w:i/>
        </w:rPr>
        <w:t>-</w:t>
      </w:r>
      <w:r w:rsidRPr="00C54EA3">
        <w:rPr>
          <w:i/>
        </w:rPr>
        <w:t>2020</w:t>
      </w:r>
      <w:r w:rsidRPr="00C54EA3">
        <w:rPr>
          <w:rStyle w:val="FootnoteReference"/>
        </w:rPr>
        <w:footnoteReference w:id="4"/>
      </w:r>
      <w:r w:rsidRPr="00C54EA3">
        <w:rPr>
          <w:i/>
        </w:rPr>
        <w:t xml:space="preserve"> </w:t>
      </w:r>
      <w:r w:rsidRPr="00C54EA3">
        <w:t xml:space="preserve">and the corresponding </w:t>
      </w:r>
      <w:r w:rsidRPr="00C54EA3">
        <w:rPr>
          <w:i/>
        </w:rPr>
        <w:t>Action Plan</w:t>
      </w:r>
      <w:r w:rsidRPr="00C54EA3">
        <w:t xml:space="preserve">, there are a number of </w:t>
      </w:r>
      <w:r w:rsidRPr="00C54EA3">
        <w:rPr>
          <w:i/>
        </w:rPr>
        <w:t xml:space="preserve">outcomes </w:t>
      </w:r>
      <w:r w:rsidRPr="00C54EA3">
        <w:t>s</w:t>
      </w:r>
      <w:r w:rsidR="00FF0BDE" w:rsidRPr="00C54EA3">
        <w:t>et out</w:t>
      </w:r>
      <w:r w:rsidRPr="00C54EA3">
        <w:t xml:space="preserve"> for each dimension of the Strategy to be reached by 2020</w:t>
      </w:r>
      <w:r w:rsidR="00FF0BDE" w:rsidRPr="00C54EA3">
        <w:t xml:space="preserve">; however, there are no </w:t>
      </w:r>
      <w:r w:rsidR="00FF0BDE" w:rsidRPr="00C54EA3">
        <w:rPr>
          <w:i/>
        </w:rPr>
        <w:t xml:space="preserve">specific </w:t>
      </w:r>
      <w:r w:rsidR="00FF0BDE" w:rsidRPr="00C54EA3">
        <w:t xml:space="preserve">(numeric) targets for </w:t>
      </w:r>
      <w:r w:rsidR="002574B6" w:rsidRPr="00C54EA3">
        <w:t>any</w:t>
      </w:r>
      <w:r w:rsidR="00FF0BDE" w:rsidRPr="00C54EA3">
        <w:t xml:space="preserve"> of the dime</w:t>
      </w:r>
      <w:r w:rsidR="002574B6" w:rsidRPr="00C54EA3">
        <w:t>n</w:t>
      </w:r>
      <w:r w:rsidR="00FF0BDE" w:rsidRPr="00C54EA3">
        <w:t>sions</w:t>
      </w:r>
      <w:r w:rsidR="00CF598E" w:rsidRPr="00C54EA3">
        <w:t xml:space="preserve"> mentioned below</w:t>
      </w:r>
      <w:r w:rsidR="00FF0BDE" w:rsidRPr="00C54EA3">
        <w:t xml:space="preserve">. </w:t>
      </w:r>
    </w:p>
    <w:p w14:paraId="7C07B551" w14:textId="77777777" w:rsidR="00B93F0D" w:rsidRPr="00C54EA3" w:rsidRDefault="00B93F0D" w:rsidP="00C54EA3">
      <w:pPr>
        <w:jc w:val="both"/>
      </w:pPr>
    </w:p>
    <w:p w14:paraId="4EC3E2AE" w14:textId="77777777" w:rsidR="00B93F0D" w:rsidRPr="00C54EA3" w:rsidRDefault="00B93F0D" w:rsidP="00C54EA3">
      <w:pPr>
        <w:jc w:val="both"/>
        <w:rPr>
          <w:i/>
        </w:rPr>
      </w:pPr>
      <w:r w:rsidRPr="00C54EA3">
        <w:t>According to the Strategy</w:t>
      </w:r>
      <w:r w:rsidR="00BA1AD1" w:rsidRPr="00C54EA3">
        <w:t>,</w:t>
      </w:r>
      <w:r w:rsidRPr="00C54EA3">
        <w:rPr>
          <w:rStyle w:val="FootnoteReference"/>
        </w:rPr>
        <w:footnoteReference w:id="5"/>
      </w:r>
      <w:r w:rsidRPr="00C54EA3">
        <w:t xml:space="preserve"> the </w:t>
      </w:r>
      <w:r w:rsidRPr="00C54EA3">
        <w:rPr>
          <w:i/>
        </w:rPr>
        <w:t xml:space="preserve">employment rate for people with disabilities </w:t>
      </w:r>
      <w:r w:rsidRPr="00C54EA3">
        <w:t>was 15</w:t>
      </w:r>
      <w:r w:rsidR="002574B6" w:rsidRPr="00C54EA3">
        <w:t>.</w:t>
      </w:r>
      <w:r w:rsidRPr="00C54EA3">
        <w:t>5</w:t>
      </w:r>
      <w:r w:rsidR="0062276E" w:rsidRPr="00C54EA3">
        <w:t>°</w:t>
      </w:r>
      <w:r w:rsidRPr="00C54EA3">
        <w:t>% in December 2014</w:t>
      </w:r>
      <w:r w:rsidR="00F04A4A" w:rsidRPr="00C54EA3">
        <w:t xml:space="preserve"> (data from the Strategy has not been changed in the last year)</w:t>
      </w:r>
      <w:r w:rsidRPr="00C54EA3">
        <w:t xml:space="preserve">. </w:t>
      </w:r>
      <w:r w:rsidR="00FF0BDE" w:rsidRPr="00C54EA3">
        <w:t>The Strategy’s main objectives under</w:t>
      </w:r>
      <w:r w:rsidR="002574B6" w:rsidRPr="00C54EA3">
        <w:t xml:space="preserve"> the</w:t>
      </w:r>
      <w:r w:rsidR="00FF0BDE" w:rsidRPr="00C54EA3">
        <w:t xml:space="preserve"> </w:t>
      </w:r>
      <w:r w:rsidR="00FF0BDE" w:rsidRPr="00C54EA3">
        <w:rPr>
          <w:i/>
        </w:rPr>
        <w:t xml:space="preserve">employment </w:t>
      </w:r>
      <w:r w:rsidR="00FF0BDE" w:rsidRPr="00C54EA3">
        <w:t xml:space="preserve">dimension are: </w:t>
      </w:r>
      <w:r w:rsidR="00FF0BDE" w:rsidRPr="00C54EA3">
        <w:rPr>
          <w:i/>
        </w:rPr>
        <w:t>to ensure the access of persons with disabilities to an open, inclusive and accessible working environment, both in the public and the private sector, while ensuring access to support services fo</w:t>
      </w:r>
      <w:r w:rsidR="0062276E" w:rsidRPr="00C54EA3">
        <w:rPr>
          <w:i/>
        </w:rPr>
        <w:t xml:space="preserve">r increasing employment of </w:t>
      </w:r>
      <w:proofErr w:type="spellStart"/>
      <w:r w:rsidR="0062276E" w:rsidRPr="00C54EA3">
        <w:rPr>
          <w:i/>
        </w:rPr>
        <w:t>PwD</w:t>
      </w:r>
      <w:proofErr w:type="spellEnd"/>
      <w:r w:rsidR="0062276E" w:rsidRPr="00C54EA3">
        <w:rPr>
          <w:i/>
        </w:rPr>
        <w:t>.</w:t>
      </w:r>
    </w:p>
    <w:p w14:paraId="4BDC0999" w14:textId="77777777" w:rsidR="0062276E" w:rsidRPr="00C54EA3" w:rsidRDefault="0062276E" w:rsidP="00C54EA3">
      <w:pPr>
        <w:jc w:val="both"/>
        <w:rPr>
          <w:i/>
        </w:rPr>
      </w:pPr>
    </w:p>
    <w:p w14:paraId="53690AFF" w14:textId="5D0CD448" w:rsidR="004D1F2E" w:rsidRPr="00C54EA3" w:rsidRDefault="004D1F2E" w:rsidP="00C54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rPr>
      </w:pPr>
      <w:r w:rsidRPr="00C54EA3">
        <w:rPr>
          <w:rFonts w:eastAsia="Times New Roman"/>
          <w:color w:val="212121"/>
        </w:rPr>
        <w:t xml:space="preserve">On targets related to employment we must also mention </w:t>
      </w:r>
      <w:r w:rsidR="00FD70D4" w:rsidRPr="00C54EA3">
        <w:rPr>
          <w:rFonts w:eastAsia="Times New Roman"/>
          <w:color w:val="212121"/>
        </w:rPr>
        <w:t xml:space="preserve">the amendments on </w:t>
      </w:r>
      <w:r w:rsidRPr="00C54EA3">
        <w:rPr>
          <w:rFonts w:eastAsia="Times New Roman"/>
          <w:color w:val="212121"/>
        </w:rPr>
        <w:t xml:space="preserve">Law no. 448/2006 regarding the protection and promotion of rights of </w:t>
      </w:r>
      <w:proofErr w:type="spellStart"/>
      <w:r w:rsidRPr="00C54EA3">
        <w:rPr>
          <w:rFonts w:eastAsia="Times New Roman"/>
          <w:color w:val="212121"/>
        </w:rPr>
        <w:t>PwD</w:t>
      </w:r>
      <w:proofErr w:type="spellEnd"/>
      <w:r w:rsidR="0062276E" w:rsidRPr="00C54EA3">
        <w:rPr>
          <w:rFonts w:eastAsia="Times New Roman"/>
          <w:color w:val="212121"/>
        </w:rPr>
        <w:t>.</w:t>
      </w:r>
      <w:r w:rsidR="0054373B" w:rsidRPr="00C54EA3">
        <w:rPr>
          <w:rStyle w:val="FootnoteReference"/>
          <w:rFonts w:eastAsia="Times New Roman"/>
          <w:color w:val="212121"/>
        </w:rPr>
        <w:footnoteReference w:id="6"/>
      </w:r>
      <w:r w:rsidRPr="00C54EA3">
        <w:rPr>
          <w:rFonts w:eastAsia="Times New Roman"/>
          <w:color w:val="212121"/>
        </w:rPr>
        <w:t xml:space="preserve"> According to</w:t>
      </w:r>
      <w:r w:rsidR="00091BBE" w:rsidRPr="00C54EA3">
        <w:rPr>
          <w:rFonts w:eastAsia="Times New Roman"/>
          <w:color w:val="212121"/>
        </w:rPr>
        <w:t xml:space="preserve"> the Government Ordinance no. 60/2017,</w:t>
      </w:r>
      <w:r w:rsidRPr="00C54EA3">
        <w:rPr>
          <w:rFonts w:eastAsia="Times New Roman"/>
          <w:color w:val="212121"/>
        </w:rPr>
        <w:t xml:space="preserve"> Art. 78, </w:t>
      </w:r>
      <w:r w:rsidRPr="00C54EA3">
        <w:rPr>
          <w:rFonts w:eastAsia="Times New Roman"/>
          <w:i/>
          <w:color w:val="212121"/>
        </w:rPr>
        <w:t>public authorities and institutions, legal entities, public or private that have 50 or more employees must employ people with disabilities, in an amount of at least 4</w:t>
      </w:r>
      <w:r w:rsidR="0062276E" w:rsidRPr="00C54EA3">
        <w:rPr>
          <w:rFonts w:eastAsia="Times New Roman"/>
          <w:i/>
          <w:color w:val="212121"/>
        </w:rPr>
        <w:t xml:space="preserve"> </w:t>
      </w:r>
      <w:r w:rsidRPr="00C54EA3">
        <w:rPr>
          <w:rFonts w:eastAsia="Times New Roman"/>
          <w:i/>
          <w:color w:val="212121"/>
        </w:rPr>
        <w:t xml:space="preserve">% of the total number of employees. </w:t>
      </w:r>
      <w:r w:rsidR="0060255B" w:rsidRPr="00C54EA3">
        <w:rPr>
          <w:rFonts w:eastAsia="Times New Roman"/>
          <w:color w:val="212121"/>
        </w:rPr>
        <w:t>If not, they must pay the minimum wage for each person with disabilities not</w:t>
      </w:r>
      <w:r w:rsidR="00585064" w:rsidRPr="00C54EA3">
        <w:rPr>
          <w:rFonts w:eastAsia="Times New Roman"/>
          <w:color w:val="212121"/>
        </w:rPr>
        <w:t xml:space="preserve"> employed as </w:t>
      </w:r>
      <w:r w:rsidR="00585064" w:rsidRPr="00C54EA3">
        <w:rPr>
          <w:rFonts w:eastAsia="Times New Roman"/>
          <w:color w:val="212121"/>
        </w:rPr>
        <w:lastRenderedPageBreak/>
        <w:t xml:space="preserve">according to the law. Some of the conditions (paying a sum of money to the state or buying services and products made by </w:t>
      </w:r>
      <w:proofErr w:type="spellStart"/>
      <w:r w:rsidR="00585064" w:rsidRPr="00C54EA3">
        <w:rPr>
          <w:rFonts w:eastAsia="Times New Roman"/>
          <w:color w:val="212121"/>
        </w:rPr>
        <w:t>PwD</w:t>
      </w:r>
      <w:proofErr w:type="spellEnd"/>
      <w:r w:rsidR="00585064" w:rsidRPr="00C54EA3">
        <w:rPr>
          <w:rFonts w:eastAsia="Times New Roman"/>
          <w:color w:val="212121"/>
        </w:rPr>
        <w:t xml:space="preserve">) were revoked, but a new one, created with the scope of stimulating </w:t>
      </w:r>
      <w:proofErr w:type="spellStart"/>
      <w:r w:rsidR="00585064" w:rsidRPr="00C54EA3">
        <w:rPr>
          <w:rFonts w:eastAsia="Times New Roman"/>
          <w:color w:val="212121"/>
        </w:rPr>
        <w:t>PwD</w:t>
      </w:r>
      <w:proofErr w:type="spellEnd"/>
      <w:r w:rsidR="00585064" w:rsidRPr="00C54EA3">
        <w:rPr>
          <w:rFonts w:eastAsia="Times New Roman"/>
          <w:color w:val="212121"/>
        </w:rPr>
        <w:t xml:space="preserve"> hiring appeared – the obligation of employers to have hiring contests only for </w:t>
      </w:r>
      <w:proofErr w:type="spellStart"/>
      <w:r w:rsidR="00585064" w:rsidRPr="00C54EA3">
        <w:rPr>
          <w:rFonts w:eastAsia="Times New Roman"/>
          <w:color w:val="212121"/>
        </w:rPr>
        <w:t>PwD</w:t>
      </w:r>
      <w:proofErr w:type="spellEnd"/>
      <w:r w:rsidR="00585064" w:rsidRPr="00C54EA3">
        <w:rPr>
          <w:rFonts w:eastAsia="Times New Roman"/>
          <w:color w:val="212121"/>
        </w:rPr>
        <w:t xml:space="preserve">, without hindering the opportunity of </w:t>
      </w:r>
      <w:proofErr w:type="spellStart"/>
      <w:r w:rsidR="00585064" w:rsidRPr="00C54EA3">
        <w:rPr>
          <w:rFonts w:eastAsia="Times New Roman"/>
          <w:color w:val="212121"/>
        </w:rPr>
        <w:t>PwD</w:t>
      </w:r>
      <w:proofErr w:type="spellEnd"/>
      <w:r w:rsidR="00585064" w:rsidRPr="00C54EA3">
        <w:rPr>
          <w:rFonts w:eastAsia="Times New Roman"/>
          <w:color w:val="212121"/>
        </w:rPr>
        <w:t xml:space="preserve"> to participate in any other contest organized by the employer.</w:t>
      </w:r>
    </w:p>
    <w:p w14:paraId="7FD7BF5C" w14:textId="77777777" w:rsidR="0078695F" w:rsidRPr="00C54EA3" w:rsidRDefault="0078695F" w:rsidP="00C54EA3">
      <w:pPr>
        <w:jc w:val="both"/>
      </w:pPr>
    </w:p>
    <w:p w14:paraId="12D52DC0" w14:textId="77777777" w:rsidR="004717FA" w:rsidRPr="00C54EA3" w:rsidRDefault="00FF0BDE" w:rsidP="00C54EA3">
      <w:pPr>
        <w:jc w:val="both"/>
        <w:rPr>
          <w:i/>
        </w:rPr>
      </w:pPr>
      <w:proofErr w:type="gramStart"/>
      <w:r w:rsidRPr="00C54EA3">
        <w:t>With regard to</w:t>
      </w:r>
      <w:proofErr w:type="gramEnd"/>
      <w:r w:rsidRPr="00C54EA3">
        <w:t xml:space="preserve"> </w:t>
      </w:r>
      <w:r w:rsidRPr="00C54EA3">
        <w:rPr>
          <w:i/>
        </w:rPr>
        <w:t xml:space="preserve">education, </w:t>
      </w:r>
      <w:r w:rsidRPr="00C54EA3">
        <w:t xml:space="preserve">the Strategy points to </w:t>
      </w:r>
      <w:r w:rsidRPr="00C54EA3">
        <w:rPr>
          <w:i/>
        </w:rPr>
        <w:t xml:space="preserve">reduced school participation of children with disabilities and </w:t>
      </w:r>
      <w:r w:rsidR="004717FA" w:rsidRPr="00C54EA3">
        <w:rPr>
          <w:i/>
        </w:rPr>
        <w:t xml:space="preserve">increased </w:t>
      </w:r>
      <w:r w:rsidR="00CF598E" w:rsidRPr="00C54EA3">
        <w:rPr>
          <w:i/>
        </w:rPr>
        <w:t>school dropout</w:t>
      </w:r>
      <w:r w:rsidR="004717FA" w:rsidRPr="00C54EA3">
        <w:rPr>
          <w:i/>
        </w:rPr>
        <w:t xml:space="preserve">, </w:t>
      </w:r>
      <w:r w:rsidR="004717FA" w:rsidRPr="00C54EA3">
        <w:t xml:space="preserve">without pointing to concrete figures measuring these phenomena. Correspondingly, the objectives set out for education are: </w:t>
      </w:r>
      <w:r w:rsidR="004717FA" w:rsidRPr="00C54EA3">
        <w:rPr>
          <w:i/>
        </w:rPr>
        <w:t xml:space="preserve">promoting education and lifelong learning at all levels for people with disabilities. </w:t>
      </w:r>
    </w:p>
    <w:p w14:paraId="1748E602" w14:textId="77777777" w:rsidR="00FF0BDE" w:rsidRPr="00C54EA3" w:rsidRDefault="00FF0BDE" w:rsidP="00C54EA3">
      <w:pPr>
        <w:jc w:val="both"/>
        <w:rPr>
          <w:noProof/>
          <w:lang w:eastAsia="ro-RO"/>
        </w:rPr>
      </w:pPr>
    </w:p>
    <w:p w14:paraId="62ACAA99" w14:textId="77777777" w:rsidR="004717FA" w:rsidRPr="00C54EA3" w:rsidRDefault="004717FA" w:rsidP="00C54EA3">
      <w:pPr>
        <w:jc w:val="both"/>
        <w:rPr>
          <w:i/>
          <w:noProof/>
          <w:lang w:eastAsia="ro-RO"/>
        </w:rPr>
      </w:pPr>
      <w:r w:rsidRPr="00C54EA3">
        <w:rPr>
          <w:i/>
          <w:noProof/>
          <w:lang w:eastAsia="ro-RO"/>
        </w:rPr>
        <w:t xml:space="preserve">Poverty and social exclusion </w:t>
      </w:r>
      <w:r w:rsidRPr="00C54EA3">
        <w:rPr>
          <w:noProof/>
          <w:lang w:eastAsia="ro-RO"/>
        </w:rPr>
        <w:t xml:space="preserve">are covered by the Strategy in the section referring to </w:t>
      </w:r>
      <w:r w:rsidRPr="00C54EA3">
        <w:rPr>
          <w:i/>
          <w:noProof/>
          <w:lang w:eastAsia="ro-RO"/>
        </w:rPr>
        <w:t xml:space="preserve">Social protection </w:t>
      </w:r>
      <w:r w:rsidRPr="00C54EA3">
        <w:rPr>
          <w:noProof/>
          <w:lang w:eastAsia="ro-RO"/>
        </w:rPr>
        <w:t xml:space="preserve">(p. 26), where it is mentioned that the </w:t>
      </w:r>
      <w:r w:rsidRPr="00C54EA3">
        <w:rPr>
          <w:i/>
          <w:noProof/>
          <w:lang w:eastAsia="ro-RO"/>
        </w:rPr>
        <w:t xml:space="preserve">reduced participation of people with disabilities in education and employment may lead to exclusion, poverty and isolation. </w:t>
      </w:r>
      <w:r w:rsidR="00766EE1" w:rsidRPr="00C54EA3">
        <w:rPr>
          <w:i/>
          <w:noProof/>
          <w:lang w:eastAsia="ro-RO"/>
        </w:rPr>
        <w:t>In order to prevent such effects, people with disabilities need adequate social protection, professional training, program</w:t>
      </w:r>
      <w:r w:rsidR="00CF598E" w:rsidRPr="00C54EA3">
        <w:rPr>
          <w:i/>
          <w:noProof/>
          <w:lang w:eastAsia="ro-RO"/>
        </w:rPr>
        <w:t>me</w:t>
      </w:r>
      <w:r w:rsidR="00766EE1" w:rsidRPr="00C54EA3">
        <w:rPr>
          <w:i/>
          <w:noProof/>
          <w:lang w:eastAsia="ro-RO"/>
        </w:rPr>
        <w:t>s for reducing poverty, corresponsing assistance for each type of disability, special program</w:t>
      </w:r>
      <w:r w:rsidR="00CF598E" w:rsidRPr="00C54EA3">
        <w:rPr>
          <w:i/>
          <w:noProof/>
          <w:lang w:eastAsia="ro-RO"/>
        </w:rPr>
        <w:t>me</w:t>
      </w:r>
      <w:r w:rsidR="00766EE1" w:rsidRPr="00C54EA3">
        <w:rPr>
          <w:i/>
          <w:noProof/>
          <w:lang w:eastAsia="ro-RO"/>
        </w:rPr>
        <w:t xml:space="preserve">s for housing and other support services. </w:t>
      </w:r>
      <w:r w:rsidR="00766EE1" w:rsidRPr="00C54EA3">
        <w:rPr>
          <w:noProof/>
          <w:lang w:eastAsia="ro-RO"/>
        </w:rPr>
        <w:t xml:space="preserve">The objective of the Strategy in this area is rather general – </w:t>
      </w:r>
      <w:r w:rsidR="00766EE1" w:rsidRPr="00C54EA3">
        <w:rPr>
          <w:i/>
          <w:noProof/>
          <w:lang w:eastAsia="ro-RO"/>
        </w:rPr>
        <w:t xml:space="preserve">protection and promotion of the rights of persons with disabilities for continuous improvement of their quality of living. </w:t>
      </w:r>
    </w:p>
    <w:p w14:paraId="1519A18D" w14:textId="77777777" w:rsidR="004717FA" w:rsidRPr="00C54EA3" w:rsidRDefault="004717FA" w:rsidP="00C54EA3">
      <w:pPr>
        <w:jc w:val="both"/>
        <w:rPr>
          <w:i/>
          <w:noProof/>
          <w:lang w:eastAsia="ro-RO"/>
        </w:rPr>
      </w:pPr>
    </w:p>
    <w:p w14:paraId="13575C44" w14:textId="77777777" w:rsidR="00503F97" w:rsidRPr="00C54EA3" w:rsidRDefault="00C202BB" w:rsidP="00C54EA3">
      <w:pPr>
        <w:jc w:val="both"/>
      </w:pPr>
      <w:r w:rsidRPr="00C54EA3">
        <w:t>Further details of the panned measures are provided in the relevant sections below.</w:t>
      </w:r>
    </w:p>
    <w:p w14:paraId="197B5F78" w14:textId="77777777" w:rsidR="005C75D8" w:rsidRPr="00C54EA3" w:rsidRDefault="00BA1AD1" w:rsidP="00C54EA3">
      <w:pPr>
        <w:pStyle w:val="Heading3"/>
        <w:jc w:val="both"/>
      </w:pPr>
      <w:r w:rsidRPr="00C54EA3">
        <w:rPr>
          <w:highlight w:val="lightGray"/>
        </w:rPr>
        <w:br w:type="page"/>
      </w:r>
      <w:bookmarkStart w:id="3" w:name="_Toc508203250"/>
      <w:r w:rsidR="005C75D8" w:rsidRPr="00C54EA3">
        <w:lastRenderedPageBreak/>
        <w:t xml:space="preserve">A note on </w:t>
      </w:r>
      <w:r w:rsidR="00092B8F" w:rsidRPr="00C54EA3">
        <w:t xml:space="preserve">the use of </w:t>
      </w:r>
      <w:r w:rsidR="002E420B" w:rsidRPr="00C54EA3">
        <w:t>EU</w:t>
      </w:r>
      <w:r w:rsidR="00092B8F" w:rsidRPr="00C54EA3">
        <w:t xml:space="preserve"> </w:t>
      </w:r>
      <w:r w:rsidR="005C75D8" w:rsidRPr="00C54EA3">
        <w:t>data</w:t>
      </w:r>
      <w:bookmarkEnd w:id="3"/>
    </w:p>
    <w:p w14:paraId="2D0A2C00" w14:textId="77777777" w:rsidR="00BA1AD1" w:rsidRPr="00C54EA3" w:rsidRDefault="00BA1AD1" w:rsidP="00C54EA3">
      <w:pPr>
        <w:jc w:val="both"/>
      </w:pPr>
    </w:p>
    <w:p w14:paraId="73FC452F" w14:textId="77777777" w:rsidR="00940F53" w:rsidRPr="00C54EA3" w:rsidRDefault="00940F53" w:rsidP="00C54EA3">
      <w:pPr>
        <w:pStyle w:val="BodyText"/>
        <w:spacing w:after="0"/>
        <w:jc w:val="both"/>
      </w:pPr>
      <w:r w:rsidRPr="00C54EA3">
        <w:t>Unless specified, the summary statistics presented in this report are drawn from 2015 EU-SILC micro data.</w:t>
      </w:r>
      <w:r w:rsidRPr="00C54EA3">
        <w:rPr>
          <w:rStyle w:val="FootnoteReference"/>
        </w:rPr>
        <w:footnoteReference w:id="7"/>
      </w:r>
      <w:r w:rsidRPr="00C54EA3">
        <w:t xml:space="preserve"> The EU-SILC sample includes people living in private households and does not include people living in institutions. The proxy used to identify people with disabilities (impairments) is whether ‘for at least the past 6 months’ the respondent reports that they have been ‘limited because of a health problem in activities people usually do’.</w:t>
      </w:r>
      <w:r w:rsidRPr="00C54EA3">
        <w:rPr>
          <w:rStyle w:val="FootnoteReference"/>
        </w:rPr>
        <w:footnoteReference w:id="8"/>
      </w:r>
      <w:r w:rsidRPr="00C54EA3">
        <w:t xml:space="preserve"> Responses to this question vary between countries and national data sources are added for comparison, where available.</w:t>
      </w:r>
    </w:p>
    <w:p w14:paraId="57013194" w14:textId="77777777" w:rsidR="00960B33" w:rsidRPr="00C54EA3" w:rsidRDefault="00960B33" w:rsidP="00C54EA3">
      <w:pPr>
        <w:pStyle w:val="BodyText"/>
        <w:spacing w:after="0"/>
        <w:jc w:val="both"/>
      </w:pPr>
    </w:p>
    <w:p w14:paraId="2FF72292" w14:textId="4410E3D5" w:rsidR="00940F53" w:rsidRPr="00C54EA3" w:rsidRDefault="00940F53" w:rsidP="00C54EA3">
      <w:pPr>
        <w:pStyle w:val="BodyText"/>
        <w:spacing w:after="0"/>
        <w:jc w:val="both"/>
      </w:pPr>
      <w:r w:rsidRPr="00C54EA3">
        <w:t>In 2015 there was a break in the German data (with significantly reduced prevalence estimates). As Germany is a very large country, this affected both the German national indicators and EU average indicators for this year. For example, the EU28 average disability prevalence indicator decreased between 2014 and 2015 but increased, as in previous years, if Germany is excluded. A similar trend is evident for the EU average employment rate of persons.</w:t>
      </w:r>
    </w:p>
    <w:p w14:paraId="36F616AD" w14:textId="77777777" w:rsidR="00940F53" w:rsidRPr="00C54EA3" w:rsidRDefault="00940F53" w:rsidP="00C54EA3">
      <w:pPr>
        <w:pStyle w:val="Caption"/>
        <w:keepNext/>
        <w:keepLines/>
        <w:jc w:val="both"/>
        <w:rPr>
          <w:sz w:val="24"/>
          <w:szCs w:val="24"/>
        </w:rPr>
      </w:pPr>
      <w:r w:rsidRPr="00C54EA3">
        <w:rPr>
          <w:sz w:val="24"/>
          <w:szCs w:val="24"/>
        </w:rPr>
        <w:lastRenderedPageBreak/>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2</w:t>
      </w:r>
      <w:r w:rsidR="00964364" w:rsidRPr="00C54EA3">
        <w:rPr>
          <w:noProof/>
          <w:sz w:val="24"/>
          <w:szCs w:val="24"/>
        </w:rPr>
        <w:fldChar w:fldCharType="end"/>
      </w:r>
      <w:r w:rsidRPr="00C54EA3">
        <w:rPr>
          <w:sz w:val="24"/>
          <w:szCs w:val="24"/>
        </w:rPr>
        <w:t>: Self-reported ‘activity limitations’ as a proxy for impairment/disability (EU-SILC 2015)</w:t>
      </w:r>
    </w:p>
    <w:p w14:paraId="19D0CA4F" w14:textId="77777777" w:rsidR="00940F53" w:rsidRPr="00C54EA3" w:rsidRDefault="00940F53" w:rsidP="00C54EA3">
      <w:pPr>
        <w:keepNext/>
        <w:keepLines/>
        <w:jc w:val="both"/>
      </w:pPr>
      <w:r w:rsidRPr="00C54EA3">
        <w:rPr>
          <w:noProof/>
          <w:lang w:eastAsia="en-GB"/>
        </w:rPr>
        <w:drawing>
          <wp:inline distT="0" distB="0" distL="0" distR="0" wp14:anchorId="1206CB10" wp14:editId="54595E73">
            <wp:extent cx="5583044" cy="4222595"/>
            <wp:effectExtent l="0" t="0" r="0" b="69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EDFBE8" w14:textId="77777777" w:rsidR="00940F53" w:rsidRPr="00C54EA3" w:rsidRDefault="00940F53" w:rsidP="00C54EA3">
      <w:pPr>
        <w:pStyle w:val="Sourcereference"/>
        <w:keepNext/>
        <w:keepLines/>
        <w:jc w:val="both"/>
        <w:rPr>
          <w:sz w:val="24"/>
          <w:lang w:eastAsia="en-GB"/>
        </w:rPr>
      </w:pPr>
      <w:r w:rsidRPr="00C54EA3">
        <w:rPr>
          <w:sz w:val="24"/>
        </w:rPr>
        <w:t xml:space="preserve">Source: </w:t>
      </w:r>
      <w:r w:rsidRPr="00C54EA3">
        <w:rPr>
          <w:sz w:val="24"/>
          <w:lang w:eastAsia="en-GB"/>
        </w:rPr>
        <w:t>EUSILC UDB 2015 – version of October 2017</w:t>
      </w:r>
    </w:p>
    <w:p w14:paraId="39E5F0DD" w14:textId="3701D7F2" w:rsidR="00940F53" w:rsidRDefault="00940F53" w:rsidP="00C54EA3">
      <w:pPr>
        <w:pStyle w:val="Sourcereference"/>
        <w:keepNext/>
        <w:keepLines/>
        <w:jc w:val="both"/>
        <w:rPr>
          <w:sz w:val="24"/>
          <w:lang w:eastAsia="en-GB"/>
        </w:rPr>
      </w:pPr>
      <w:r w:rsidRPr="00C54EA3">
        <w:rPr>
          <w:sz w:val="24"/>
          <w:lang w:eastAsia="en-GB"/>
        </w:rPr>
        <w:t>Note: the disability prevalence rate for Romania is well above the EU28 average for the older age group, which may affect the estimation of any outcome indicators based upon it.</w:t>
      </w:r>
    </w:p>
    <w:p w14:paraId="5CC6251F" w14:textId="77777777" w:rsidR="00C54EA3" w:rsidRPr="00C54EA3" w:rsidRDefault="00C54EA3" w:rsidP="00C54EA3">
      <w:pPr>
        <w:rPr>
          <w:lang w:eastAsia="en-GB"/>
        </w:rPr>
      </w:pPr>
    </w:p>
    <w:p w14:paraId="3C90BC1F" w14:textId="565B2C21" w:rsidR="00AF323E" w:rsidRPr="00C54EA3" w:rsidRDefault="00940F53" w:rsidP="00C54EA3">
      <w:pPr>
        <w:pStyle w:val="BodyText"/>
        <w:spacing w:after="0"/>
        <w:jc w:val="both"/>
      </w:pPr>
      <w:r w:rsidRPr="00C54EA3">
        <w:t>In subsequent tables, these data are used as a proxy to estimate ‘disability’ equality in the main target areas for EU2020 – employment, education and poverty risk.</w:t>
      </w:r>
      <w:r w:rsidRPr="00C54EA3">
        <w:rPr>
          <w:rStyle w:val="FootnoteReference"/>
        </w:rPr>
        <w:footnoteReference w:id="9"/>
      </w:r>
      <w:r w:rsidRPr="00C54EA3">
        <w:t xml:space="preserve"> The tables are presented by disaggregating the estimated proportion of people who report and do not report limitations for each indicator (e.g. among those who are employed, unemployed, at risk of poverty, etc.)</w:t>
      </w:r>
      <w:r w:rsidR="007D6F19" w:rsidRPr="00C54EA3">
        <w:t>.</w:t>
      </w:r>
    </w:p>
    <w:p w14:paraId="178DC4F6" w14:textId="77777777" w:rsidR="00BA1AD1" w:rsidRPr="00C54EA3" w:rsidRDefault="00BA1AD1" w:rsidP="00C54EA3">
      <w:pPr>
        <w:pStyle w:val="BodyText"/>
        <w:spacing w:after="0"/>
        <w:jc w:val="both"/>
        <w:rPr>
          <w:rFonts w:eastAsia="SimSun"/>
          <w:b/>
          <w:bCs/>
        </w:rPr>
      </w:pPr>
    </w:p>
    <w:p w14:paraId="34C9C0B9" w14:textId="77777777" w:rsidR="00BC5855" w:rsidRPr="00C54EA3" w:rsidRDefault="000D320A" w:rsidP="00C54EA3">
      <w:pPr>
        <w:pStyle w:val="Heading2"/>
        <w:jc w:val="both"/>
        <w:rPr>
          <w:szCs w:val="24"/>
        </w:rPr>
      </w:pPr>
      <w:bookmarkStart w:id="4" w:name="_Toc508203251"/>
      <w:r w:rsidRPr="00C54EA3">
        <w:rPr>
          <w:szCs w:val="24"/>
        </w:rPr>
        <w:t xml:space="preserve">Employment </w:t>
      </w:r>
      <w:r w:rsidR="00D72CA8" w:rsidRPr="00C54EA3">
        <w:rPr>
          <w:szCs w:val="24"/>
        </w:rPr>
        <w:t>data</w:t>
      </w:r>
      <w:bookmarkEnd w:id="4"/>
    </w:p>
    <w:p w14:paraId="3AF34B41" w14:textId="77777777" w:rsidR="0062276E" w:rsidRPr="00C54EA3" w:rsidRDefault="0062276E" w:rsidP="00C54EA3">
      <w:pPr>
        <w:jc w:val="both"/>
      </w:pPr>
    </w:p>
    <w:p w14:paraId="78CD377A" w14:textId="77777777" w:rsidR="00940F53" w:rsidRPr="00C54EA3" w:rsidRDefault="00940F53" w:rsidP="00C54EA3">
      <w:pPr>
        <w:pStyle w:val="Caption"/>
        <w:keepNext/>
        <w:jc w:val="both"/>
        <w:rPr>
          <w:sz w:val="24"/>
          <w:szCs w:val="24"/>
        </w:rPr>
      </w:pPr>
      <w:r w:rsidRPr="00C54EA3">
        <w:rPr>
          <w:sz w:val="24"/>
          <w:szCs w:val="24"/>
        </w:rPr>
        <w:lastRenderedPageBreak/>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3</w:t>
      </w:r>
      <w:r w:rsidR="00964364" w:rsidRPr="00C54EA3">
        <w:rPr>
          <w:noProof/>
          <w:sz w:val="24"/>
          <w:szCs w:val="24"/>
        </w:rPr>
        <w:fldChar w:fldCharType="end"/>
      </w:r>
      <w:r w:rsidRPr="00C54EA3">
        <w:rPr>
          <w:noProof/>
          <w:sz w:val="24"/>
          <w:szCs w:val="24"/>
        </w:rPr>
        <w:t>: Most recent employment data, aged 20-64</w:t>
      </w:r>
    </w:p>
    <w:p w14:paraId="73D64ADD" w14:textId="77777777" w:rsidR="00940F53" w:rsidRPr="00C54EA3" w:rsidRDefault="00940F53" w:rsidP="00C54EA3">
      <w:pPr>
        <w:jc w:val="both"/>
      </w:pPr>
      <w:r w:rsidRPr="00C54EA3">
        <w:rPr>
          <w:noProof/>
          <w:lang w:eastAsia="en-GB"/>
        </w:rPr>
        <w:drawing>
          <wp:inline distT="0" distB="0" distL="0" distR="0" wp14:anchorId="6FBC7692" wp14:editId="2C1DA099">
            <wp:extent cx="5581934" cy="2361062"/>
            <wp:effectExtent l="0" t="0" r="0" b="12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02F0C0" w14:textId="26D22FF6" w:rsidR="00940F53" w:rsidRDefault="00940F5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w:t>
      </w:r>
    </w:p>
    <w:p w14:paraId="6886AFC1" w14:textId="77777777" w:rsidR="00C54EA3" w:rsidRPr="00C54EA3" w:rsidRDefault="00C54EA3" w:rsidP="00C54EA3">
      <w:pPr>
        <w:pStyle w:val="Sourcereference"/>
        <w:jc w:val="both"/>
        <w:rPr>
          <w:sz w:val="24"/>
          <w:lang w:eastAsia="en-GB"/>
        </w:rPr>
      </w:pPr>
    </w:p>
    <w:p w14:paraId="2EDAE851" w14:textId="77777777" w:rsidR="00940F53" w:rsidRPr="00C54EA3" w:rsidRDefault="00940F53" w:rsidP="00C54EA3">
      <w:pPr>
        <w:pStyle w:val="Caption"/>
        <w:jc w:val="both"/>
        <w:rPr>
          <w:sz w:val="24"/>
          <w:szCs w:val="24"/>
        </w:rPr>
      </w:pPr>
      <w:r w:rsidRPr="00C54EA3">
        <w:rPr>
          <w:sz w:val="24"/>
          <w:szCs w:val="24"/>
        </w:rPr>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4</w:t>
      </w:r>
      <w:r w:rsidR="00964364" w:rsidRPr="00C54EA3">
        <w:rPr>
          <w:noProof/>
          <w:sz w:val="24"/>
          <w:szCs w:val="24"/>
        </w:rPr>
        <w:fldChar w:fldCharType="end"/>
      </w:r>
      <w:r w:rsidRPr="00C54EA3">
        <w:rPr>
          <w:sz w:val="24"/>
          <w:szCs w:val="24"/>
        </w:rPr>
        <w:t>: Employment rate data, by age group</w:t>
      </w:r>
    </w:p>
    <w:p w14:paraId="1F0F3AED" w14:textId="77777777" w:rsidR="00940F53" w:rsidRPr="00C54EA3" w:rsidRDefault="00940F53" w:rsidP="00C54EA3">
      <w:pPr>
        <w:jc w:val="both"/>
      </w:pPr>
      <w:r w:rsidRPr="00C54EA3">
        <w:rPr>
          <w:noProof/>
          <w:lang w:eastAsia="en-GB"/>
        </w:rPr>
        <w:drawing>
          <wp:inline distT="0" distB="0" distL="0" distR="0" wp14:anchorId="07A6D43E" wp14:editId="26290D04">
            <wp:extent cx="5581934" cy="2565780"/>
            <wp:effectExtent l="0" t="0" r="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546539" w14:textId="77777777" w:rsidR="00940F53" w:rsidRPr="00C54EA3" w:rsidRDefault="00940F5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w:t>
      </w:r>
    </w:p>
    <w:p w14:paraId="0EBC0E5B" w14:textId="77777777" w:rsidR="00940F53" w:rsidRPr="00C54EA3" w:rsidRDefault="00940F53" w:rsidP="00C54EA3">
      <w:pPr>
        <w:pStyle w:val="Caption"/>
        <w:keepNext/>
        <w:jc w:val="both"/>
        <w:rPr>
          <w:sz w:val="24"/>
          <w:szCs w:val="24"/>
        </w:rPr>
      </w:pPr>
      <w:r w:rsidRPr="00C54EA3">
        <w:rPr>
          <w:sz w:val="24"/>
          <w:szCs w:val="24"/>
        </w:rPr>
        <w:lastRenderedPageBreak/>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5</w:t>
      </w:r>
      <w:r w:rsidR="00964364" w:rsidRPr="00C54EA3">
        <w:rPr>
          <w:noProof/>
          <w:sz w:val="24"/>
          <w:szCs w:val="24"/>
        </w:rPr>
        <w:fldChar w:fldCharType="end"/>
      </w:r>
      <w:r w:rsidRPr="00C54EA3">
        <w:rPr>
          <w:sz w:val="24"/>
          <w:szCs w:val="24"/>
        </w:rPr>
        <w:t>: Trends in employment by gender and disability (aged 20-64)</w:t>
      </w:r>
    </w:p>
    <w:p w14:paraId="5F7F79F2" w14:textId="77777777" w:rsidR="00940F53" w:rsidRPr="00C54EA3" w:rsidRDefault="00940F53" w:rsidP="00C54EA3">
      <w:pPr>
        <w:jc w:val="both"/>
      </w:pPr>
      <w:r w:rsidRPr="00C54EA3">
        <w:rPr>
          <w:noProof/>
          <w:lang w:eastAsia="en-GB"/>
        </w:rPr>
        <w:drawing>
          <wp:inline distT="0" distB="0" distL="0" distR="0" wp14:anchorId="0FE518AA" wp14:editId="62EFECCD">
            <wp:extent cx="5486400" cy="46386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761E4B" w14:textId="321231F2" w:rsidR="00940F53" w:rsidRDefault="00940F5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 (and preceding UDBs)</w:t>
      </w:r>
    </w:p>
    <w:p w14:paraId="7F12D672" w14:textId="77777777" w:rsidR="00C54EA3" w:rsidRPr="00C54EA3" w:rsidRDefault="00C54EA3" w:rsidP="00C54EA3">
      <w:pPr>
        <w:pStyle w:val="Sourcereference"/>
        <w:jc w:val="both"/>
        <w:rPr>
          <w:sz w:val="24"/>
          <w:lang w:eastAsia="en-GB"/>
        </w:rPr>
      </w:pPr>
    </w:p>
    <w:p w14:paraId="6154787B" w14:textId="560144AC" w:rsidR="001516AF" w:rsidRPr="00C54EA3" w:rsidRDefault="00940F53" w:rsidP="00C54EA3">
      <w:pPr>
        <w:pStyle w:val="BodyText"/>
        <w:spacing w:after="0"/>
        <w:jc w:val="both"/>
      </w:pPr>
      <w:r w:rsidRPr="00C54EA3">
        <w:t xml:space="preserve">The table above shows a comparison of national employment trends for disabled and non-disabled women and men, and compares this with the EU2020 headline indicator for the </w:t>
      </w:r>
      <w:proofErr w:type="gramStart"/>
      <w:r w:rsidRPr="00C54EA3">
        <w:t>EU as a whole</w:t>
      </w:r>
      <w:proofErr w:type="gramEnd"/>
      <w:r w:rsidR="001516AF" w:rsidRPr="00C54EA3">
        <w:t>.</w:t>
      </w:r>
    </w:p>
    <w:p w14:paraId="009EE27A" w14:textId="77777777" w:rsidR="00BA1AD1" w:rsidRPr="00C54EA3" w:rsidRDefault="00BA1AD1" w:rsidP="00C54EA3">
      <w:pPr>
        <w:pStyle w:val="BodyText"/>
        <w:spacing w:after="0"/>
        <w:jc w:val="both"/>
      </w:pPr>
    </w:p>
    <w:p w14:paraId="6A6302FD" w14:textId="77777777" w:rsidR="0066278F" w:rsidRPr="00C54EA3" w:rsidRDefault="0066278F" w:rsidP="00C54EA3">
      <w:pPr>
        <w:pStyle w:val="Un-numberedsubheading"/>
        <w:spacing w:after="0"/>
        <w:jc w:val="both"/>
      </w:pPr>
      <w:r w:rsidRPr="00C54EA3">
        <w:t xml:space="preserve">Alternative data on disability and employment </w:t>
      </w:r>
      <w:r w:rsidR="00803568" w:rsidRPr="00C54EA3">
        <w:t>provided by the national expert</w:t>
      </w:r>
      <w:r w:rsidRPr="00C54EA3">
        <w:t>:</w:t>
      </w:r>
    </w:p>
    <w:p w14:paraId="7376853E" w14:textId="77777777" w:rsidR="0062276E" w:rsidRPr="00C54EA3" w:rsidRDefault="0062276E" w:rsidP="00C54EA3">
      <w:pPr>
        <w:pStyle w:val="Un-numberedsubheading"/>
        <w:spacing w:after="0"/>
        <w:jc w:val="both"/>
      </w:pPr>
    </w:p>
    <w:p w14:paraId="24E27EF5" w14:textId="02EB12D6" w:rsidR="00766EE1" w:rsidRPr="00C54EA3" w:rsidRDefault="00766EE1" w:rsidP="00C54EA3">
      <w:pPr>
        <w:jc w:val="both"/>
      </w:pPr>
      <w:r w:rsidRPr="00C54EA3">
        <w:t>According to the official statistics</w:t>
      </w:r>
      <w:r w:rsidR="00BA1AD1" w:rsidRPr="00C54EA3">
        <w:t>,</w:t>
      </w:r>
      <w:r w:rsidRPr="00C54EA3">
        <w:rPr>
          <w:rStyle w:val="FootnoteReference"/>
        </w:rPr>
        <w:footnoteReference w:id="10"/>
      </w:r>
      <w:r w:rsidRPr="00C54EA3">
        <w:t xml:space="preserve"> in </w:t>
      </w:r>
      <w:r w:rsidR="00C05843" w:rsidRPr="00C54EA3">
        <w:t xml:space="preserve">June </w:t>
      </w:r>
      <w:r w:rsidR="00A90558" w:rsidRPr="00C54EA3">
        <w:t>2017</w:t>
      </w:r>
      <w:r w:rsidRPr="00C54EA3">
        <w:t xml:space="preserve">, a total number of </w:t>
      </w:r>
      <w:r w:rsidR="00A90558" w:rsidRPr="00C54EA3">
        <w:t>33</w:t>
      </w:r>
      <w:r w:rsidR="00940F53" w:rsidRPr="00C54EA3">
        <w:t>,</w:t>
      </w:r>
      <w:r w:rsidR="00A90558" w:rsidRPr="00C54EA3">
        <w:t>882</w:t>
      </w:r>
      <w:r w:rsidRPr="00C54EA3">
        <w:t xml:space="preserve"> adults with disabi</w:t>
      </w:r>
      <w:r w:rsidR="00E30EA4" w:rsidRPr="00C54EA3">
        <w:t>lities in Romania were employed.</w:t>
      </w:r>
    </w:p>
    <w:p w14:paraId="202D31FB" w14:textId="77777777" w:rsidR="00E30EA4" w:rsidRPr="00C54EA3" w:rsidRDefault="00E30EA4" w:rsidP="00C54EA3">
      <w:pPr>
        <w:jc w:val="both"/>
      </w:pPr>
    </w:p>
    <w:p w14:paraId="00E32DC6" w14:textId="77777777" w:rsidR="00E30EA4" w:rsidRPr="00C54EA3" w:rsidRDefault="00C16973" w:rsidP="00C54EA3">
      <w:pPr>
        <w:jc w:val="both"/>
      </w:pPr>
      <w:r w:rsidRPr="00C54EA3">
        <w:t>T</w:t>
      </w:r>
      <w:r w:rsidR="00E30EA4" w:rsidRPr="00C54EA3">
        <w:t xml:space="preserve">he pie chart below </w:t>
      </w:r>
      <w:r w:rsidRPr="00C54EA3">
        <w:t>shows the</w:t>
      </w:r>
      <w:r w:rsidR="00E30EA4" w:rsidRPr="00C54EA3">
        <w:t xml:space="preserve"> detailed situation </w:t>
      </w:r>
      <w:r w:rsidR="002574B6" w:rsidRPr="00C54EA3">
        <w:t>for</w:t>
      </w:r>
      <w:r w:rsidR="00E30EA4" w:rsidRPr="00C54EA3">
        <w:t xml:space="preserve"> employment per type of disability: </w:t>
      </w:r>
    </w:p>
    <w:p w14:paraId="265FB243" w14:textId="09B462CA" w:rsidR="00A90558" w:rsidRPr="00C54EA3" w:rsidRDefault="00A90558" w:rsidP="00C54EA3">
      <w:pPr>
        <w:jc w:val="both"/>
      </w:pPr>
    </w:p>
    <w:p w14:paraId="40468A0F" w14:textId="77777777" w:rsidR="00A90558" w:rsidRPr="00C54EA3" w:rsidRDefault="00A90558" w:rsidP="00C54EA3">
      <w:pPr>
        <w:jc w:val="both"/>
      </w:pPr>
      <w:r w:rsidRPr="00C54EA3">
        <w:rPr>
          <w:noProof/>
          <w:lang w:eastAsia="en-GB"/>
        </w:rPr>
        <w:lastRenderedPageBreak/>
        <w:drawing>
          <wp:inline distT="0" distB="0" distL="0" distR="0" wp14:anchorId="243A5D59" wp14:editId="6E1BEBC2">
            <wp:extent cx="5840730" cy="3615055"/>
            <wp:effectExtent l="0" t="0" r="7620" b="444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0730" cy="3615055"/>
                    </a:xfrm>
                    <a:prstGeom prst="rect">
                      <a:avLst/>
                    </a:prstGeom>
                    <a:noFill/>
                  </pic:spPr>
                </pic:pic>
              </a:graphicData>
            </a:graphic>
          </wp:inline>
        </w:drawing>
      </w:r>
    </w:p>
    <w:p w14:paraId="6D2B3EFF" w14:textId="77777777" w:rsidR="00846480" w:rsidRPr="00C54EA3" w:rsidRDefault="00E30EA4" w:rsidP="00C54EA3">
      <w:pPr>
        <w:jc w:val="both"/>
        <w:rPr>
          <w:i/>
        </w:rPr>
      </w:pPr>
      <w:r w:rsidRPr="00C54EA3">
        <w:rPr>
          <w:i/>
        </w:rPr>
        <w:t>Source: Official employment Statistics from NAPD</w:t>
      </w:r>
      <w:r w:rsidR="00A90558" w:rsidRPr="00C54EA3">
        <w:rPr>
          <w:i/>
        </w:rPr>
        <w:t xml:space="preserve"> (according to data published in September 2017)</w:t>
      </w:r>
    </w:p>
    <w:p w14:paraId="2F1CA131" w14:textId="77777777" w:rsidR="00B24B1B" w:rsidRPr="00C54EA3" w:rsidRDefault="00B24B1B" w:rsidP="00C54EA3">
      <w:pPr>
        <w:jc w:val="both"/>
      </w:pPr>
    </w:p>
    <w:p w14:paraId="7860A5A5" w14:textId="77777777" w:rsidR="00561FF5" w:rsidRPr="00C54EA3" w:rsidRDefault="00561FF5" w:rsidP="00C54EA3">
      <w:pPr>
        <w:pStyle w:val="Heading3"/>
        <w:jc w:val="both"/>
      </w:pPr>
      <w:bookmarkStart w:id="5" w:name="_Toc508203252"/>
      <w:r w:rsidRPr="00C54EA3">
        <w:t>Unemployment</w:t>
      </w:r>
      <w:bookmarkEnd w:id="5"/>
    </w:p>
    <w:p w14:paraId="2EBFAAC5" w14:textId="77777777" w:rsidR="00BA1AD1" w:rsidRPr="00C54EA3" w:rsidRDefault="00BA1AD1" w:rsidP="00C54EA3">
      <w:pPr>
        <w:jc w:val="both"/>
      </w:pPr>
    </w:p>
    <w:p w14:paraId="43350972" w14:textId="52698A68" w:rsidR="00940F53" w:rsidRDefault="00940F53" w:rsidP="00C54EA3">
      <w:pPr>
        <w:pStyle w:val="BodyText"/>
        <w:spacing w:after="0"/>
        <w:jc w:val="both"/>
      </w:pPr>
      <w:r w:rsidRPr="00C54EA3">
        <w:t>National administrative rules and definitions of ‘unemployment’ vary, and these may affect the way in which disabled people are categorised in different countries. The following tables compare national data with the EU2020 headline indicator for the EU</w:t>
      </w:r>
      <w:r w:rsidR="008868A1" w:rsidRPr="00C54EA3">
        <w:t>.</w:t>
      </w:r>
    </w:p>
    <w:p w14:paraId="35EF8E06" w14:textId="77777777" w:rsidR="00C54EA3" w:rsidRPr="00C54EA3" w:rsidRDefault="00C54EA3" w:rsidP="00C54EA3">
      <w:pPr>
        <w:pStyle w:val="BodyText"/>
        <w:spacing w:after="0"/>
        <w:jc w:val="both"/>
      </w:pPr>
    </w:p>
    <w:p w14:paraId="64B8342D" w14:textId="77777777" w:rsidR="00940F53" w:rsidRPr="00C54EA3" w:rsidRDefault="00940F53" w:rsidP="00C54EA3">
      <w:pPr>
        <w:pStyle w:val="Caption"/>
        <w:keepNext/>
        <w:jc w:val="both"/>
        <w:rPr>
          <w:sz w:val="24"/>
          <w:szCs w:val="24"/>
        </w:rPr>
      </w:pPr>
      <w:r w:rsidRPr="00C54EA3">
        <w:rPr>
          <w:sz w:val="24"/>
          <w:szCs w:val="24"/>
        </w:rPr>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6</w:t>
      </w:r>
      <w:r w:rsidR="00964364" w:rsidRPr="00C54EA3">
        <w:rPr>
          <w:noProof/>
          <w:sz w:val="24"/>
          <w:szCs w:val="24"/>
        </w:rPr>
        <w:fldChar w:fldCharType="end"/>
      </w:r>
      <w:r w:rsidRPr="00C54EA3">
        <w:rPr>
          <w:noProof/>
          <w:sz w:val="24"/>
          <w:szCs w:val="24"/>
        </w:rPr>
        <w:t>: Most recent unemployment data, aged 20-64</w:t>
      </w:r>
    </w:p>
    <w:p w14:paraId="09B6936B" w14:textId="77777777" w:rsidR="00940F53" w:rsidRPr="00C54EA3" w:rsidRDefault="00940F53" w:rsidP="00C54EA3">
      <w:pPr>
        <w:jc w:val="both"/>
      </w:pPr>
      <w:r w:rsidRPr="00C54EA3">
        <w:rPr>
          <w:noProof/>
          <w:lang w:eastAsia="en-GB"/>
        </w:rPr>
        <w:drawing>
          <wp:inline distT="0" distB="0" distL="0" distR="0" wp14:anchorId="77FD4EA3" wp14:editId="4BBECAC2">
            <wp:extent cx="5583044" cy="2594517"/>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422705" w14:textId="77777777" w:rsidR="00940F53" w:rsidRPr="00C54EA3" w:rsidRDefault="00940F5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w:t>
      </w:r>
    </w:p>
    <w:p w14:paraId="50DFB8AB" w14:textId="77777777" w:rsidR="00940F53" w:rsidRPr="00C54EA3" w:rsidRDefault="00940F53" w:rsidP="00C54EA3">
      <w:pPr>
        <w:pStyle w:val="Caption"/>
        <w:jc w:val="both"/>
        <w:rPr>
          <w:sz w:val="24"/>
          <w:szCs w:val="24"/>
        </w:rPr>
      </w:pPr>
      <w:r w:rsidRPr="00C54EA3">
        <w:rPr>
          <w:sz w:val="24"/>
          <w:szCs w:val="24"/>
        </w:rPr>
        <w:lastRenderedPageBreak/>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7</w:t>
      </w:r>
      <w:r w:rsidR="00964364" w:rsidRPr="00C54EA3">
        <w:rPr>
          <w:noProof/>
          <w:sz w:val="24"/>
          <w:szCs w:val="24"/>
        </w:rPr>
        <w:fldChar w:fldCharType="end"/>
      </w:r>
      <w:r w:rsidRPr="00C54EA3">
        <w:rPr>
          <w:sz w:val="24"/>
          <w:szCs w:val="24"/>
        </w:rPr>
        <w:t>: Unemployment rate data, by age group</w:t>
      </w:r>
    </w:p>
    <w:p w14:paraId="31BC4765" w14:textId="77777777" w:rsidR="00940F53" w:rsidRPr="00C54EA3" w:rsidRDefault="00940F53" w:rsidP="00C54EA3">
      <w:pPr>
        <w:jc w:val="both"/>
      </w:pPr>
      <w:r w:rsidRPr="00C54EA3">
        <w:rPr>
          <w:noProof/>
          <w:lang w:eastAsia="en-GB"/>
        </w:rPr>
        <w:drawing>
          <wp:inline distT="0" distB="0" distL="0" distR="0" wp14:anchorId="717564F1" wp14:editId="70664B77">
            <wp:extent cx="5582920" cy="2406869"/>
            <wp:effectExtent l="0" t="0" r="17780" b="1270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0BCE47" w14:textId="77777777" w:rsidR="00940F53" w:rsidRPr="00C54EA3" w:rsidRDefault="00940F5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w:t>
      </w:r>
    </w:p>
    <w:p w14:paraId="22F53271" w14:textId="77777777" w:rsidR="00940F53" w:rsidRPr="00C54EA3" w:rsidRDefault="00940F53" w:rsidP="00C54EA3">
      <w:pPr>
        <w:pStyle w:val="Sourcereference"/>
        <w:jc w:val="both"/>
        <w:rPr>
          <w:sz w:val="24"/>
          <w:lang w:eastAsia="en-GB"/>
        </w:rPr>
      </w:pPr>
      <w:r w:rsidRPr="00C54EA3">
        <w:rPr>
          <w:sz w:val="24"/>
          <w:lang w:eastAsia="en-GB"/>
        </w:rPr>
        <w:t>Note: in 2015 there were fewer than 50 observations in the youngest disability group in Romania, none of whom were identified as unemployed.</w:t>
      </w:r>
    </w:p>
    <w:p w14:paraId="339CD8D1" w14:textId="77777777" w:rsidR="00940F53" w:rsidRPr="00C54EA3" w:rsidRDefault="00940F53" w:rsidP="00C54EA3">
      <w:pPr>
        <w:jc w:val="both"/>
        <w:rPr>
          <w:lang w:eastAsia="en-GB"/>
        </w:rPr>
      </w:pPr>
    </w:p>
    <w:p w14:paraId="23369382" w14:textId="77777777" w:rsidR="00940F53" w:rsidRPr="00C54EA3" w:rsidRDefault="00940F53" w:rsidP="00C54EA3">
      <w:pPr>
        <w:pStyle w:val="Caption"/>
        <w:keepNext/>
        <w:jc w:val="both"/>
        <w:rPr>
          <w:sz w:val="24"/>
          <w:szCs w:val="24"/>
        </w:rPr>
      </w:pPr>
      <w:r w:rsidRPr="00C54EA3">
        <w:rPr>
          <w:sz w:val="24"/>
          <w:szCs w:val="24"/>
        </w:rPr>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8</w:t>
      </w:r>
      <w:r w:rsidR="00964364" w:rsidRPr="00C54EA3">
        <w:rPr>
          <w:noProof/>
          <w:sz w:val="24"/>
          <w:szCs w:val="24"/>
        </w:rPr>
        <w:fldChar w:fldCharType="end"/>
      </w:r>
      <w:r w:rsidRPr="00C54EA3">
        <w:rPr>
          <w:sz w:val="24"/>
          <w:szCs w:val="24"/>
        </w:rPr>
        <w:t>: Trends in unemployment by gender and disability (aged 20-64)</w:t>
      </w:r>
    </w:p>
    <w:p w14:paraId="7FC5A3EF" w14:textId="77777777" w:rsidR="00940F53" w:rsidRPr="00C54EA3" w:rsidRDefault="00940F53" w:rsidP="00C54EA3">
      <w:pPr>
        <w:jc w:val="both"/>
      </w:pPr>
      <w:r w:rsidRPr="00C54EA3">
        <w:rPr>
          <w:noProof/>
          <w:lang w:eastAsia="en-GB"/>
        </w:rPr>
        <w:drawing>
          <wp:inline distT="0" distB="0" distL="0" distR="0" wp14:anchorId="2040C274" wp14:editId="5E9B5728">
            <wp:extent cx="5486400" cy="4487917"/>
            <wp:effectExtent l="0" t="0" r="0" b="825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2F137D" w14:textId="77777777" w:rsidR="00940F53" w:rsidRPr="00C54EA3" w:rsidRDefault="00940F5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 (and preceding UDBs)</w:t>
      </w:r>
    </w:p>
    <w:p w14:paraId="5CC048C5" w14:textId="28354B3F" w:rsidR="001516AF" w:rsidRPr="00C54EA3" w:rsidRDefault="00940F53" w:rsidP="00C54EA3">
      <w:pPr>
        <w:spacing w:line="276" w:lineRule="auto"/>
        <w:jc w:val="both"/>
        <w:rPr>
          <w:i/>
        </w:rPr>
      </w:pPr>
      <w:r w:rsidRPr="00C54EA3">
        <w:rPr>
          <w:lang w:eastAsia="en-GB"/>
        </w:rPr>
        <w:lastRenderedPageBreak/>
        <w:t xml:space="preserve">Fluctuations in the gendered tends for people with impairments should be treated with caution, although the pattern is somewhat similar for those without. </w:t>
      </w:r>
      <w:proofErr w:type="gramStart"/>
      <w:r w:rsidRPr="00C54EA3">
        <w:rPr>
          <w:lang w:eastAsia="en-GB"/>
        </w:rPr>
        <w:t>In particular, the</w:t>
      </w:r>
      <w:proofErr w:type="gramEnd"/>
      <w:r w:rsidRPr="00C54EA3">
        <w:rPr>
          <w:lang w:eastAsia="en-GB"/>
        </w:rPr>
        <w:t xml:space="preserve"> trend for disabled men in Romania is difficult to interpret (an average trend line is inserted for illustration only)</w:t>
      </w:r>
      <w:r w:rsidR="001516AF" w:rsidRPr="00C54EA3">
        <w:rPr>
          <w:i/>
        </w:rPr>
        <w:t>.</w:t>
      </w:r>
    </w:p>
    <w:p w14:paraId="57B4859B" w14:textId="77777777" w:rsidR="0062276E" w:rsidRPr="00C54EA3" w:rsidRDefault="0062276E" w:rsidP="00C54EA3">
      <w:pPr>
        <w:pStyle w:val="Un-numberedsubheading"/>
        <w:spacing w:after="0"/>
        <w:jc w:val="both"/>
      </w:pPr>
    </w:p>
    <w:p w14:paraId="4376758F" w14:textId="77777777" w:rsidR="00082E6D" w:rsidRPr="00C54EA3" w:rsidRDefault="00082E6D" w:rsidP="00C54EA3">
      <w:pPr>
        <w:pStyle w:val="Un-numberedsubheading"/>
        <w:spacing w:after="0"/>
        <w:jc w:val="both"/>
      </w:pPr>
      <w:r w:rsidRPr="00C54EA3">
        <w:t>Alternative data on disability and unemployment from national sources:</w:t>
      </w:r>
    </w:p>
    <w:p w14:paraId="3288B828" w14:textId="77777777" w:rsidR="0062276E" w:rsidRPr="00C54EA3" w:rsidRDefault="0062276E" w:rsidP="00C54EA3">
      <w:pPr>
        <w:pStyle w:val="Un-numberedsubheading"/>
        <w:spacing w:after="0"/>
        <w:jc w:val="both"/>
      </w:pPr>
    </w:p>
    <w:p w14:paraId="420D9BC4" w14:textId="1B31F4D1" w:rsidR="00E30EA4" w:rsidRPr="00C54EA3" w:rsidRDefault="00871A83" w:rsidP="00C54EA3">
      <w:pPr>
        <w:jc w:val="both"/>
      </w:pPr>
      <w:r w:rsidRPr="00C54EA3">
        <w:t>The r</w:t>
      </w:r>
      <w:r w:rsidR="00E30EA4" w:rsidRPr="00C54EA3">
        <w:t xml:space="preserve">ate of employment officially reported by the Ministry of Labour </w:t>
      </w:r>
      <w:r w:rsidR="0003279B" w:rsidRPr="00C54EA3">
        <w:t xml:space="preserve">and Social Justice </w:t>
      </w:r>
      <w:r w:rsidR="00E30EA4" w:rsidRPr="00C54EA3">
        <w:t xml:space="preserve">for people with disabilities in Romania </w:t>
      </w:r>
      <w:r w:rsidR="000E6576" w:rsidRPr="00C54EA3">
        <w:t xml:space="preserve">was </w:t>
      </w:r>
      <w:r w:rsidR="00E30EA4" w:rsidRPr="00C54EA3">
        <w:t>15</w:t>
      </w:r>
      <w:r w:rsidR="00C16973" w:rsidRPr="00C54EA3">
        <w:t>.</w:t>
      </w:r>
      <w:r w:rsidR="00E30EA4" w:rsidRPr="00C54EA3">
        <w:t>5%</w:t>
      </w:r>
      <w:r w:rsidR="00C16973" w:rsidRPr="00C54EA3">
        <w:t xml:space="preserve"> </w:t>
      </w:r>
      <w:r w:rsidR="000E6576" w:rsidRPr="00C54EA3">
        <w:t xml:space="preserve">at the end of December 2014 </w:t>
      </w:r>
      <w:r w:rsidR="00C16973" w:rsidRPr="00C54EA3">
        <w:t>(this includes people working in the open labour market as well as those in protected units)</w:t>
      </w:r>
      <w:r w:rsidR="000E6576" w:rsidRPr="00C54EA3">
        <w:t>,</w:t>
      </w:r>
      <w:r w:rsidR="00756DED" w:rsidRPr="00C54EA3">
        <w:t xml:space="preserve"> </w:t>
      </w:r>
      <w:r w:rsidR="000E6576" w:rsidRPr="00C54EA3">
        <w:t>new statistics not</w:t>
      </w:r>
      <w:r w:rsidR="00756DED" w:rsidRPr="00C54EA3">
        <w:t xml:space="preserve"> being available at this moment.</w:t>
      </w:r>
      <w:r w:rsidRPr="00C54EA3">
        <w:t xml:space="preserve"> </w:t>
      </w:r>
      <w:r w:rsidR="000E6576" w:rsidRPr="00C54EA3">
        <w:t xml:space="preserve">Also, </w:t>
      </w:r>
      <w:r w:rsidR="00E30EA4" w:rsidRPr="00C54EA3">
        <w:t>data is lacking</w:t>
      </w:r>
      <w:r w:rsidR="00756DED" w:rsidRPr="00C54EA3">
        <w:t>,</w:t>
      </w:r>
      <w:r w:rsidR="00E30EA4" w:rsidRPr="00C54EA3">
        <w:t xml:space="preserve"> with regards to the reference system used to calculate </w:t>
      </w:r>
      <w:r w:rsidR="00C16973" w:rsidRPr="00C54EA3">
        <w:t xml:space="preserve">the </w:t>
      </w:r>
      <w:r w:rsidR="00E30EA4" w:rsidRPr="00C54EA3">
        <w:t>employment rate</w:t>
      </w:r>
      <w:r w:rsidR="00C16973" w:rsidRPr="00C54EA3">
        <w:t xml:space="preserve"> </w:t>
      </w:r>
      <w:r w:rsidR="003046BC" w:rsidRPr="00C54EA3">
        <w:t>in relation to</w:t>
      </w:r>
      <w:r w:rsidR="00E30EA4" w:rsidRPr="00C54EA3">
        <w:t xml:space="preserve"> the overall n</w:t>
      </w:r>
      <w:r w:rsidR="003046BC" w:rsidRPr="00C54EA3">
        <w:t>umber</w:t>
      </w:r>
      <w:r w:rsidR="00E30EA4" w:rsidRPr="00C54EA3">
        <w:t xml:space="preserve"> of adults with disabilities in Romania </w:t>
      </w:r>
      <w:r w:rsidR="003046BC" w:rsidRPr="00C54EA3">
        <w:t>–</w:t>
      </w:r>
      <w:r w:rsidR="003A0B1A" w:rsidRPr="00C54EA3">
        <w:t>726.203</w:t>
      </w:r>
      <w:r w:rsidR="00DC3C0D" w:rsidRPr="00C54EA3">
        <w:t xml:space="preserve"> </w:t>
      </w:r>
      <w:r w:rsidR="00E30EA4" w:rsidRPr="00C54EA3">
        <w:t>people aged over 18</w:t>
      </w:r>
      <w:r w:rsidR="00DC3C0D" w:rsidRPr="00C54EA3">
        <w:t xml:space="preserve">, by the end of </w:t>
      </w:r>
      <w:r w:rsidR="005851DD" w:rsidRPr="00C54EA3">
        <w:t xml:space="preserve">June </w:t>
      </w:r>
      <w:r w:rsidR="00DC3C0D" w:rsidRPr="00C54EA3">
        <w:t>201</w:t>
      </w:r>
      <w:r w:rsidR="003A0B1A" w:rsidRPr="00C54EA3">
        <w:t>7</w:t>
      </w:r>
      <w:r w:rsidR="0062276E" w:rsidRPr="00C54EA3">
        <w:t>.</w:t>
      </w:r>
      <w:r w:rsidR="00FD3D97" w:rsidRPr="00C54EA3">
        <w:rPr>
          <w:rStyle w:val="FootnoteReference"/>
        </w:rPr>
        <w:footnoteReference w:id="11"/>
      </w:r>
      <w:r w:rsidR="00E30EA4" w:rsidRPr="00C54EA3">
        <w:t xml:space="preserve"> </w:t>
      </w:r>
    </w:p>
    <w:p w14:paraId="1F1D81C0" w14:textId="77777777" w:rsidR="00082E6D" w:rsidRPr="00C54EA3" w:rsidRDefault="00082E6D" w:rsidP="00C54EA3">
      <w:pPr>
        <w:jc w:val="both"/>
      </w:pPr>
    </w:p>
    <w:p w14:paraId="4A076A88" w14:textId="77777777" w:rsidR="008A5AB7" w:rsidRPr="00C54EA3" w:rsidRDefault="00561FF5" w:rsidP="00C54EA3">
      <w:pPr>
        <w:pStyle w:val="Heading3"/>
        <w:jc w:val="both"/>
      </w:pPr>
      <w:bookmarkStart w:id="6" w:name="_Toc508203253"/>
      <w:r w:rsidRPr="00C54EA3">
        <w:t>Economic activity</w:t>
      </w:r>
      <w:bookmarkEnd w:id="6"/>
    </w:p>
    <w:p w14:paraId="198EBDB3" w14:textId="77777777" w:rsidR="0062276E" w:rsidRPr="00C54EA3" w:rsidRDefault="0062276E" w:rsidP="00C54EA3">
      <w:pPr>
        <w:jc w:val="both"/>
      </w:pPr>
    </w:p>
    <w:p w14:paraId="5A0633C1" w14:textId="77777777" w:rsidR="00940F53" w:rsidRPr="00C54EA3" w:rsidRDefault="00940F53" w:rsidP="00C54EA3">
      <w:pPr>
        <w:pStyle w:val="Caption"/>
        <w:jc w:val="both"/>
        <w:rPr>
          <w:sz w:val="24"/>
          <w:szCs w:val="24"/>
        </w:rPr>
      </w:pPr>
      <w:r w:rsidRPr="00C54EA3">
        <w:rPr>
          <w:sz w:val="24"/>
          <w:szCs w:val="24"/>
        </w:rPr>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9</w:t>
      </w:r>
      <w:r w:rsidR="00964364" w:rsidRPr="00C54EA3">
        <w:rPr>
          <w:noProof/>
          <w:sz w:val="24"/>
          <w:szCs w:val="24"/>
        </w:rPr>
        <w:fldChar w:fldCharType="end"/>
      </w:r>
      <w:r w:rsidRPr="00C54EA3">
        <w:rPr>
          <w:noProof/>
          <w:sz w:val="24"/>
          <w:szCs w:val="24"/>
        </w:rPr>
        <w:t>: Most recent economic activty data, aged 20-64</w:t>
      </w:r>
    </w:p>
    <w:p w14:paraId="3AFC68C0" w14:textId="77777777" w:rsidR="00940F53" w:rsidRPr="00C54EA3" w:rsidRDefault="00940F53" w:rsidP="00C54EA3">
      <w:pPr>
        <w:jc w:val="both"/>
      </w:pPr>
      <w:r w:rsidRPr="00C54EA3">
        <w:rPr>
          <w:noProof/>
          <w:lang w:eastAsia="en-GB"/>
        </w:rPr>
        <w:drawing>
          <wp:inline distT="0" distB="0" distL="0" distR="0" wp14:anchorId="18AE2881" wp14:editId="6C54AC0F">
            <wp:extent cx="5583044" cy="2594517"/>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4B6E56" w14:textId="77777777" w:rsidR="00940F53" w:rsidRPr="00C54EA3" w:rsidRDefault="00940F5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w:t>
      </w:r>
    </w:p>
    <w:p w14:paraId="51F108F5" w14:textId="77777777" w:rsidR="00C54EA3" w:rsidRDefault="00C54EA3">
      <w:pPr>
        <w:rPr>
          <w:b/>
          <w:bCs/>
        </w:rPr>
      </w:pPr>
      <w:r>
        <w:br w:type="page"/>
      </w:r>
    </w:p>
    <w:p w14:paraId="68D491E3" w14:textId="60D47749" w:rsidR="00940F53" w:rsidRPr="00C54EA3" w:rsidRDefault="00940F53" w:rsidP="00C54EA3">
      <w:pPr>
        <w:pStyle w:val="Caption"/>
        <w:jc w:val="both"/>
        <w:rPr>
          <w:sz w:val="24"/>
          <w:szCs w:val="24"/>
        </w:rPr>
      </w:pPr>
      <w:r w:rsidRPr="00C54EA3">
        <w:rPr>
          <w:sz w:val="24"/>
          <w:szCs w:val="24"/>
        </w:rPr>
        <w:lastRenderedPageBreak/>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10</w:t>
      </w:r>
      <w:r w:rsidR="00964364" w:rsidRPr="00C54EA3">
        <w:rPr>
          <w:noProof/>
          <w:sz w:val="24"/>
          <w:szCs w:val="24"/>
        </w:rPr>
        <w:fldChar w:fldCharType="end"/>
      </w:r>
      <w:r w:rsidRPr="00C54EA3">
        <w:rPr>
          <w:sz w:val="24"/>
          <w:szCs w:val="24"/>
        </w:rPr>
        <w:t>: Activity rate data, by age group</w:t>
      </w:r>
    </w:p>
    <w:p w14:paraId="3DED9798" w14:textId="77777777" w:rsidR="00940F53" w:rsidRPr="00C54EA3" w:rsidRDefault="00940F53" w:rsidP="00C54EA3">
      <w:pPr>
        <w:jc w:val="both"/>
      </w:pPr>
      <w:r w:rsidRPr="00C54EA3">
        <w:rPr>
          <w:noProof/>
          <w:lang w:eastAsia="en-GB"/>
        </w:rPr>
        <w:drawing>
          <wp:inline distT="0" distB="0" distL="0" distR="0" wp14:anchorId="0759BB6E" wp14:editId="187827BB">
            <wp:extent cx="5583044" cy="2668858"/>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EDD7A2F" w14:textId="77777777" w:rsidR="00940F53" w:rsidRPr="00C54EA3" w:rsidRDefault="00940F5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w:t>
      </w:r>
    </w:p>
    <w:p w14:paraId="5B558AD3" w14:textId="79209C11" w:rsidR="00940F53" w:rsidRPr="00C54EA3" w:rsidRDefault="00940F53" w:rsidP="00C54EA3">
      <w:pPr>
        <w:pStyle w:val="Sourcereference"/>
        <w:jc w:val="both"/>
        <w:rPr>
          <w:sz w:val="24"/>
          <w:lang w:eastAsia="en-GB"/>
        </w:rPr>
      </w:pPr>
      <w:r w:rsidRPr="00C54EA3">
        <w:rPr>
          <w:sz w:val="24"/>
          <w:lang w:eastAsia="en-GB"/>
        </w:rPr>
        <w:t>Note: in 2015 there were fewer than 50 observations in the younge</w:t>
      </w:r>
      <w:r w:rsidR="00C54EA3">
        <w:rPr>
          <w:sz w:val="24"/>
          <w:lang w:eastAsia="en-GB"/>
        </w:rPr>
        <w:t>st disability group in Romania.</w:t>
      </w:r>
    </w:p>
    <w:p w14:paraId="7BBB97CA" w14:textId="77777777" w:rsidR="00940F53" w:rsidRPr="00C54EA3" w:rsidRDefault="00940F53" w:rsidP="00C54EA3">
      <w:pPr>
        <w:pStyle w:val="Caption"/>
        <w:keepNext/>
        <w:jc w:val="both"/>
        <w:rPr>
          <w:sz w:val="24"/>
          <w:szCs w:val="24"/>
        </w:rPr>
      </w:pPr>
      <w:r w:rsidRPr="00C54EA3">
        <w:rPr>
          <w:sz w:val="24"/>
          <w:szCs w:val="24"/>
        </w:rPr>
        <w:lastRenderedPageBreak/>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11</w:t>
      </w:r>
      <w:r w:rsidR="00964364" w:rsidRPr="00C54EA3">
        <w:rPr>
          <w:noProof/>
          <w:sz w:val="24"/>
          <w:szCs w:val="24"/>
        </w:rPr>
        <w:fldChar w:fldCharType="end"/>
      </w:r>
      <w:r w:rsidRPr="00C54EA3">
        <w:rPr>
          <w:sz w:val="24"/>
          <w:szCs w:val="24"/>
        </w:rPr>
        <w:t>: Trends in activity rates by gender and disability (aged 20-64)</w:t>
      </w:r>
    </w:p>
    <w:p w14:paraId="66BB2A19" w14:textId="77777777" w:rsidR="00940F53" w:rsidRPr="00C54EA3" w:rsidRDefault="00940F53" w:rsidP="00C54EA3">
      <w:pPr>
        <w:jc w:val="both"/>
      </w:pPr>
      <w:r w:rsidRPr="00C54EA3">
        <w:rPr>
          <w:noProof/>
          <w:lang w:eastAsia="en-GB"/>
        </w:rPr>
        <w:drawing>
          <wp:inline distT="0" distB="0" distL="0" distR="0" wp14:anchorId="5498F052" wp14:editId="0A486D42">
            <wp:extent cx="5486400" cy="46386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89C9C1F" w14:textId="533A54C5" w:rsidR="001516AF" w:rsidRPr="00C54EA3" w:rsidRDefault="00940F5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 (and preceding UDBs</w:t>
      </w:r>
      <w:r w:rsidR="001516AF" w:rsidRPr="00C54EA3">
        <w:rPr>
          <w:sz w:val="24"/>
          <w:lang w:eastAsia="en-GB"/>
        </w:rPr>
        <w:t>)</w:t>
      </w:r>
    </w:p>
    <w:p w14:paraId="5AA24622" w14:textId="77777777" w:rsidR="008868A1" w:rsidRPr="00C54EA3" w:rsidRDefault="008868A1" w:rsidP="00C54EA3">
      <w:pPr>
        <w:pStyle w:val="Un-numberedsubheading"/>
        <w:spacing w:after="0"/>
        <w:jc w:val="both"/>
        <w:rPr>
          <w:b w:val="0"/>
        </w:rPr>
      </w:pPr>
    </w:p>
    <w:p w14:paraId="1B1E2B1A" w14:textId="69AADB0C" w:rsidR="0066278F" w:rsidRPr="00C54EA3" w:rsidRDefault="0066278F" w:rsidP="00C54EA3">
      <w:pPr>
        <w:pStyle w:val="Un-numberedsubheading"/>
        <w:spacing w:after="0"/>
        <w:jc w:val="both"/>
      </w:pPr>
      <w:r w:rsidRPr="00C54EA3">
        <w:t xml:space="preserve">Alternative data on disability and </w:t>
      </w:r>
      <w:r w:rsidR="00ED4CF4" w:rsidRPr="00C54EA3">
        <w:t>economic activity</w:t>
      </w:r>
      <w:r w:rsidRPr="00C54EA3">
        <w:t xml:space="preserve"> </w:t>
      </w:r>
      <w:r w:rsidR="00803568" w:rsidRPr="00C54EA3">
        <w:t>provided by the national expert</w:t>
      </w:r>
      <w:r w:rsidRPr="00C54EA3">
        <w:t>:</w:t>
      </w:r>
    </w:p>
    <w:p w14:paraId="6F68561D" w14:textId="77777777" w:rsidR="00BA1AD1" w:rsidRPr="00C54EA3" w:rsidRDefault="00BA1AD1" w:rsidP="00C54EA3">
      <w:pPr>
        <w:pStyle w:val="Un-numberedsubheading"/>
        <w:spacing w:after="0"/>
        <w:jc w:val="both"/>
      </w:pPr>
    </w:p>
    <w:p w14:paraId="10BC964B" w14:textId="77777777" w:rsidR="00834272" w:rsidRPr="00C54EA3" w:rsidRDefault="00E30EA4" w:rsidP="00C54EA3">
      <w:pPr>
        <w:jc w:val="both"/>
      </w:pPr>
      <w:r w:rsidRPr="00C54EA3">
        <w:t>There is scarce</w:t>
      </w:r>
      <w:r w:rsidR="003046BC" w:rsidRPr="00C54EA3">
        <w:t>ly</w:t>
      </w:r>
      <w:r w:rsidRPr="00C54EA3">
        <w:t xml:space="preserve"> </w:t>
      </w:r>
      <w:r w:rsidR="003046BC" w:rsidRPr="00C54EA3">
        <w:t>any</w:t>
      </w:r>
      <w:r w:rsidRPr="00C54EA3">
        <w:t xml:space="preserve"> information available in Romania about</w:t>
      </w:r>
      <w:r w:rsidR="003046BC" w:rsidRPr="00C54EA3">
        <w:t xml:space="preserve"> the</w:t>
      </w:r>
      <w:r w:rsidRPr="00C54EA3">
        <w:t xml:space="preserve"> economic activity of disabled people apart from the official figures related to employment. </w:t>
      </w:r>
    </w:p>
    <w:p w14:paraId="2DDE632F" w14:textId="77777777" w:rsidR="00E30EA4" w:rsidRPr="00C54EA3" w:rsidRDefault="00E30EA4" w:rsidP="00C54EA3">
      <w:pPr>
        <w:jc w:val="both"/>
      </w:pPr>
    </w:p>
    <w:p w14:paraId="73E35DF6" w14:textId="29F66411" w:rsidR="00E30EA4" w:rsidRPr="00C54EA3" w:rsidRDefault="00E30EA4" w:rsidP="00C54EA3">
      <w:pPr>
        <w:jc w:val="both"/>
      </w:pPr>
      <w:r w:rsidRPr="00C54EA3">
        <w:t xml:space="preserve">The National Authority for Persons with Disabilities reports </w:t>
      </w:r>
      <w:r w:rsidR="000E6576" w:rsidRPr="00C54EA3">
        <w:t xml:space="preserve">for </w:t>
      </w:r>
      <w:r w:rsidR="00A271E1" w:rsidRPr="00C54EA3">
        <w:t>September 2017</w:t>
      </w:r>
      <w:r w:rsidRPr="00C54EA3">
        <w:t xml:space="preserve"> a total number of </w:t>
      </w:r>
      <w:r w:rsidR="00C6141C" w:rsidRPr="00C54EA3">
        <w:t xml:space="preserve">751 </w:t>
      </w:r>
      <w:r w:rsidRPr="00C54EA3">
        <w:rPr>
          <w:i/>
        </w:rPr>
        <w:t>protected units</w:t>
      </w:r>
      <w:r w:rsidR="00FE26EB" w:rsidRPr="00C54EA3">
        <w:rPr>
          <w:i/>
        </w:rPr>
        <w:t xml:space="preserve">, with </w:t>
      </w:r>
      <w:r w:rsidR="00C6141C" w:rsidRPr="00C54EA3">
        <w:rPr>
          <w:i/>
        </w:rPr>
        <w:t>8less</w:t>
      </w:r>
      <w:r w:rsidR="00FE26EB" w:rsidRPr="00C54EA3">
        <w:rPr>
          <w:i/>
        </w:rPr>
        <w:t xml:space="preserve"> than the previous year</w:t>
      </w:r>
      <w:r w:rsidR="00FB1F7D" w:rsidRPr="00C54EA3">
        <w:rPr>
          <w:i/>
        </w:rPr>
        <w:t>,</w:t>
      </w:r>
      <w:r w:rsidRPr="00C54EA3">
        <w:rPr>
          <w:rStyle w:val="FootnoteReference"/>
        </w:rPr>
        <w:footnoteReference w:id="12"/>
      </w:r>
      <w:r w:rsidRPr="00C54EA3">
        <w:rPr>
          <w:i/>
        </w:rPr>
        <w:t xml:space="preserve"> </w:t>
      </w:r>
      <w:r w:rsidRPr="00C54EA3">
        <w:t>However, there is no official data available with regards to the total number of people with disabilities employed by these units</w:t>
      </w:r>
      <w:r w:rsidR="00C6141C" w:rsidRPr="00C54EA3">
        <w:t xml:space="preserve">, but some pieces of information have been released in the context of the Government Ordinance no. 60/2017 on amending the Law no. 448/2006 </w:t>
      </w:r>
      <w:r w:rsidR="00F37D1A" w:rsidRPr="00C54EA3">
        <w:t xml:space="preserve">– there are 732 protected units in Romania, out of which 181 have a single employee with disabilities, and 172 have less than three. At the same time, people with disabilities </w:t>
      </w:r>
      <w:r w:rsidR="00F37D1A" w:rsidRPr="00C54EA3">
        <w:lastRenderedPageBreak/>
        <w:t>have a working standard of five hours per week (out of 40 possible), meaning one hour a day. By default, the salary is related to the number of hours worked, which means that the companies have hired people with disabilities only to become protected units and to have a preferential fiscal regime</w:t>
      </w:r>
      <w:r w:rsidR="008868A1" w:rsidRPr="00C54EA3">
        <w:t>.</w:t>
      </w:r>
      <w:r w:rsidR="00F37D1A" w:rsidRPr="00C54EA3">
        <w:rPr>
          <w:rStyle w:val="FootnoteReference"/>
        </w:rPr>
        <w:footnoteReference w:id="13"/>
      </w:r>
    </w:p>
    <w:p w14:paraId="6C6997C5" w14:textId="77777777" w:rsidR="008868A1" w:rsidRPr="00C54EA3" w:rsidRDefault="008868A1" w:rsidP="00C54EA3">
      <w:pPr>
        <w:jc w:val="both"/>
      </w:pPr>
    </w:p>
    <w:p w14:paraId="7498ADFC" w14:textId="77777777" w:rsidR="000E59E4" w:rsidRPr="00C54EA3" w:rsidRDefault="00BF6032" w:rsidP="00C54EA3">
      <w:pPr>
        <w:pStyle w:val="Heading2"/>
        <w:jc w:val="both"/>
        <w:rPr>
          <w:szCs w:val="24"/>
        </w:rPr>
      </w:pPr>
      <w:bookmarkStart w:id="7" w:name="_Toc508203254"/>
      <w:r w:rsidRPr="00C54EA3">
        <w:rPr>
          <w:szCs w:val="24"/>
        </w:rPr>
        <w:t>Education</w:t>
      </w:r>
      <w:r w:rsidR="00D939BF" w:rsidRPr="00C54EA3">
        <w:rPr>
          <w:szCs w:val="24"/>
        </w:rPr>
        <w:t xml:space="preserve"> data</w:t>
      </w:r>
      <w:bookmarkEnd w:id="7"/>
    </w:p>
    <w:p w14:paraId="2057940F" w14:textId="77777777" w:rsidR="00BA1AD1" w:rsidRPr="00C54EA3" w:rsidRDefault="00BA1AD1" w:rsidP="00C54EA3">
      <w:pPr>
        <w:jc w:val="both"/>
      </w:pPr>
    </w:p>
    <w:p w14:paraId="359F69D5" w14:textId="77777777" w:rsidR="00940F53" w:rsidRPr="00C54EA3" w:rsidRDefault="00940F53" w:rsidP="00C54EA3">
      <w:pPr>
        <w:pStyle w:val="BodyText"/>
        <w:jc w:val="both"/>
      </w:pPr>
      <w:r w:rsidRPr="00C54EA3">
        <w:t>EU statistical comparisons are more limited concerning the education of young disabled women and men in the EU2020 target age groups. Data is available from EU-SILC (annually) as well as the Eurostat Labour Force Survey ad-hoc disability module (for 2011), but with low reliability for several countries on the key measures.</w:t>
      </w:r>
      <w:r w:rsidRPr="00C54EA3">
        <w:rPr>
          <w:rStyle w:val="FootnoteReference"/>
        </w:rPr>
        <w:footnoteReference w:id="14"/>
      </w:r>
      <w:r w:rsidRPr="00C54EA3">
        <w:t xml:space="preserve"> Using a wider age range can improve reliability but estimations by gender remain indicative. EU trends are evident but administrative data may offer more reliable alternatives to identify national trends, where available. Confidence intervals for the disability group are wide on both indicators at the national level but reliable at the EU level. An average over several years may provide a more robust national indication.</w:t>
      </w:r>
    </w:p>
    <w:p w14:paraId="3FABEA12" w14:textId="2B577A7B" w:rsidR="00940F53" w:rsidRPr="00C54EA3" w:rsidRDefault="00940F53" w:rsidP="00C54EA3">
      <w:pPr>
        <w:pStyle w:val="BodyText"/>
        <w:spacing w:after="0"/>
        <w:jc w:val="both"/>
      </w:pPr>
      <w:r w:rsidRPr="00C54EA3">
        <w:t>There was also a change from ISCED 1997 to ISCED 2011 qualification definitions in 2014 although some Member States continued to use the older definition in 2015.</w:t>
      </w:r>
    </w:p>
    <w:p w14:paraId="56028458" w14:textId="77777777" w:rsidR="008868A1" w:rsidRPr="00C54EA3" w:rsidRDefault="008868A1" w:rsidP="00C54EA3">
      <w:pPr>
        <w:pStyle w:val="BodyText"/>
        <w:spacing w:after="0"/>
        <w:jc w:val="both"/>
      </w:pPr>
    </w:p>
    <w:p w14:paraId="413F7846" w14:textId="77777777" w:rsidR="00940F53" w:rsidRPr="00C54EA3" w:rsidRDefault="00940F53" w:rsidP="00C54EA3">
      <w:pPr>
        <w:pStyle w:val="Heading3"/>
        <w:ind w:left="851" w:hanging="851"/>
        <w:jc w:val="both"/>
      </w:pPr>
      <w:bookmarkStart w:id="8" w:name="_Toc429999639"/>
      <w:bookmarkStart w:id="9" w:name="_Toc508203255"/>
      <w:r w:rsidRPr="00C54EA3">
        <w:t>Early school leavers</w:t>
      </w:r>
      <w:bookmarkEnd w:id="8"/>
      <w:bookmarkEnd w:id="9"/>
    </w:p>
    <w:p w14:paraId="69A15559" w14:textId="77777777" w:rsidR="008868A1" w:rsidRPr="00C54EA3" w:rsidRDefault="008868A1" w:rsidP="00C54EA3">
      <w:pPr>
        <w:pStyle w:val="BodyText"/>
        <w:jc w:val="both"/>
      </w:pPr>
    </w:p>
    <w:p w14:paraId="3AF5F710" w14:textId="1B09FFA6" w:rsidR="00940F53" w:rsidRPr="00C54EA3" w:rsidRDefault="00940F53" w:rsidP="00C54EA3">
      <w:pPr>
        <w:pStyle w:val="BodyText"/>
        <w:jc w:val="both"/>
      </w:pPr>
      <w:r w:rsidRPr="00C54EA3">
        <w:t>The EU-SILC sample for the target age group (aged 18-24) includes the following number of people reporting activity ‘limitation’ (as a proxy for impairment/disability).</w:t>
      </w:r>
    </w:p>
    <w:p w14:paraId="0913EE4B" w14:textId="77777777" w:rsidR="00940F53" w:rsidRPr="00C54EA3" w:rsidRDefault="00940F53" w:rsidP="00C54EA3">
      <w:pPr>
        <w:pStyle w:val="Caption"/>
        <w:jc w:val="both"/>
        <w:rPr>
          <w:sz w:val="24"/>
          <w:szCs w:val="24"/>
        </w:rPr>
      </w:pPr>
      <w:r w:rsidRPr="00C54EA3">
        <w:rPr>
          <w:sz w:val="24"/>
          <w:szCs w:val="24"/>
        </w:rPr>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12</w:t>
      </w:r>
      <w:r w:rsidR="00964364" w:rsidRPr="00C54EA3">
        <w:rPr>
          <w:noProof/>
          <w:sz w:val="24"/>
          <w:szCs w:val="24"/>
        </w:rPr>
        <w:fldChar w:fldCharType="end"/>
      </w:r>
      <w:r w:rsidRPr="00C54EA3">
        <w:rPr>
          <w:sz w:val="24"/>
          <w:szCs w:val="24"/>
        </w:rPr>
        <w:t>: EU-SILC sample size in the target age group 18-24 versus 18-29</w:t>
      </w:r>
    </w:p>
    <w:tbl>
      <w:tblPr>
        <w:tblStyle w:val="TableGrid"/>
        <w:tblW w:w="0" w:type="auto"/>
        <w:tblLook w:val="04A0" w:firstRow="1" w:lastRow="0" w:firstColumn="1" w:lastColumn="0" w:noHBand="0" w:noVBand="1"/>
      </w:tblPr>
      <w:tblGrid>
        <w:gridCol w:w="1678"/>
        <w:gridCol w:w="1945"/>
        <w:gridCol w:w="1746"/>
        <w:gridCol w:w="1945"/>
        <w:gridCol w:w="1746"/>
      </w:tblGrid>
      <w:tr w:rsidR="00940F53" w:rsidRPr="00C54EA3" w14:paraId="1E325228" w14:textId="77777777" w:rsidTr="00940F53">
        <w:tc>
          <w:tcPr>
            <w:tcW w:w="0" w:type="auto"/>
          </w:tcPr>
          <w:p w14:paraId="5CA95FAD" w14:textId="77777777" w:rsidR="00940F53" w:rsidRPr="00C54EA3" w:rsidRDefault="00940F53" w:rsidP="00C54EA3">
            <w:pPr>
              <w:jc w:val="both"/>
              <w:rPr>
                <w:b/>
              </w:rPr>
            </w:pPr>
          </w:p>
        </w:tc>
        <w:tc>
          <w:tcPr>
            <w:tcW w:w="0" w:type="auto"/>
            <w:gridSpan w:val="2"/>
          </w:tcPr>
          <w:p w14:paraId="68C86509" w14:textId="77777777" w:rsidR="00940F53" w:rsidRPr="00C54EA3" w:rsidRDefault="00940F53" w:rsidP="00C54EA3">
            <w:pPr>
              <w:rPr>
                <w:b/>
              </w:rPr>
            </w:pPr>
            <w:r w:rsidRPr="00C54EA3">
              <w:rPr>
                <w:b/>
              </w:rPr>
              <w:t>Age 18-24</w:t>
            </w:r>
          </w:p>
        </w:tc>
        <w:tc>
          <w:tcPr>
            <w:tcW w:w="0" w:type="auto"/>
            <w:gridSpan w:val="2"/>
          </w:tcPr>
          <w:p w14:paraId="6AD8E767" w14:textId="77777777" w:rsidR="00940F53" w:rsidRPr="00C54EA3" w:rsidRDefault="00940F53" w:rsidP="00C54EA3">
            <w:pPr>
              <w:rPr>
                <w:b/>
              </w:rPr>
            </w:pPr>
            <w:r w:rsidRPr="00C54EA3">
              <w:rPr>
                <w:b/>
              </w:rPr>
              <w:t>Age 18-29</w:t>
            </w:r>
          </w:p>
        </w:tc>
      </w:tr>
      <w:tr w:rsidR="00940F53" w:rsidRPr="00C54EA3" w14:paraId="0D9DC623" w14:textId="77777777" w:rsidTr="00940F53">
        <w:tc>
          <w:tcPr>
            <w:tcW w:w="0" w:type="auto"/>
          </w:tcPr>
          <w:p w14:paraId="0B868633" w14:textId="77777777" w:rsidR="00940F53" w:rsidRPr="00C54EA3" w:rsidRDefault="00940F53" w:rsidP="00C54EA3">
            <w:pPr>
              <w:jc w:val="both"/>
              <w:rPr>
                <w:b/>
              </w:rPr>
            </w:pPr>
          </w:p>
        </w:tc>
        <w:tc>
          <w:tcPr>
            <w:tcW w:w="0" w:type="auto"/>
          </w:tcPr>
          <w:p w14:paraId="42D718CF" w14:textId="77777777" w:rsidR="00940F53" w:rsidRPr="00C54EA3" w:rsidRDefault="00940F53" w:rsidP="00C54EA3">
            <w:r w:rsidRPr="00C54EA3">
              <w:t>No activity ‘limitation’</w:t>
            </w:r>
          </w:p>
        </w:tc>
        <w:tc>
          <w:tcPr>
            <w:tcW w:w="0" w:type="auto"/>
          </w:tcPr>
          <w:p w14:paraId="50DFA593" w14:textId="77777777" w:rsidR="00940F53" w:rsidRPr="00C54EA3" w:rsidRDefault="00940F53" w:rsidP="00C54EA3">
            <w:r w:rsidRPr="00C54EA3">
              <w:t>Activity ‘limitation’</w:t>
            </w:r>
          </w:p>
        </w:tc>
        <w:tc>
          <w:tcPr>
            <w:tcW w:w="0" w:type="auto"/>
          </w:tcPr>
          <w:p w14:paraId="2EDFD338" w14:textId="77777777" w:rsidR="00940F53" w:rsidRPr="00C54EA3" w:rsidRDefault="00940F53" w:rsidP="00C54EA3">
            <w:r w:rsidRPr="00C54EA3">
              <w:t>No activity ‘limitation’</w:t>
            </w:r>
          </w:p>
        </w:tc>
        <w:tc>
          <w:tcPr>
            <w:tcW w:w="0" w:type="auto"/>
          </w:tcPr>
          <w:p w14:paraId="5BB6C483" w14:textId="77777777" w:rsidR="00940F53" w:rsidRPr="00C54EA3" w:rsidRDefault="00940F53" w:rsidP="00C54EA3">
            <w:r w:rsidRPr="00C54EA3">
              <w:t>Activity ‘limitation’</w:t>
            </w:r>
          </w:p>
        </w:tc>
      </w:tr>
      <w:tr w:rsidR="00940F53" w:rsidRPr="00C54EA3" w14:paraId="06C142A1" w14:textId="77777777" w:rsidTr="00940F53">
        <w:tc>
          <w:tcPr>
            <w:tcW w:w="0" w:type="auto"/>
          </w:tcPr>
          <w:p w14:paraId="78C6D972" w14:textId="77777777" w:rsidR="00940F53" w:rsidRPr="00C54EA3" w:rsidRDefault="00940F53" w:rsidP="00C54EA3">
            <w:pPr>
              <w:jc w:val="both"/>
              <w:rPr>
                <w:b/>
              </w:rPr>
            </w:pPr>
            <w:r w:rsidRPr="00C54EA3">
              <w:rPr>
                <w:b/>
              </w:rPr>
              <w:t>EU sample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0D51C" w14:textId="77777777" w:rsidR="00940F53" w:rsidRPr="00C54EA3" w:rsidRDefault="00940F53" w:rsidP="00C54EA3">
            <w:r w:rsidRPr="00C54EA3">
              <w:rPr>
                <w:color w:val="000000"/>
              </w:rPr>
              <w:t>32,733</w:t>
            </w:r>
          </w:p>
        </w:tc>
        <w:tc>
          <w:tcPr>
            <w:tcW w:w="0" w:type="auto"/>
            <w:tcBorders>
              <w:top w:val="single" w:sz="4" w:space="0" w:color="auto"/>
              <w:left w:val="nil"/>
              <w:bottom w:val="single" w:sz="4" w:space="0" w:color="auto"/>
              <w:right w:val="single" w:sz="4" w:space="0" w:color="auto"/>
            </w:tcBorders>
            <w:shd w:val="clear" w:color="auto" w:fill="auto"/>
            <w:vAlign w:val="bottom"/>
          </w:tcPr>
          <w:p w14:paraId="724C862F" w14:textId="77777777" w:rsidR="00940F53" w:rsidRPr="00C54EA3" w:rsidRDefault="00940F53" w:rsidP="00C54EA3">
            <w:r w:rsidRPr="00C54EA3">
              <w:rPr>
                <w:color w:val="000000"/>
              </w:rPr>
              <w:t>2,673</w:t>
            </w:r>
          </w:p>
        </w:tc>
        <w:tc>
          <w:tcPr>
            <w:tcW w:w="0" w:type="auto"/>
            <w:tcBorders>
              <w:top w:val="single" w:sz="4" w:space="0" w:color="auto"/>
              <w:left w:val="nil"/>
              <w:bottom w:val="single" w:sz="4" w:space="0" w:color="auto"/>
              <w:right w:val="single" w:sz="4" w:space="0" w:color="auto"/>
            </w:tcBorders>
            <w:shd w:val="clear" w:color="auto" w:fill="auto"/>
            <w:vAlign w:val="bottom"/>
          </w:tcPr>
          <w:p w14:paraId="7CC4B261" w14:textId="77777777" w:rsidR="00940F53" w:rsidRPr="00C54EA3" w:rsidRDefault="00940F53" w:rsidP="00C54EA3">
            <w:r w:rsidRPr="00C54EA3">
              <w:rPr>
                <w:color w:val="000000"/>
              </w:rPr>
              <w:t>54,418</w:t>
            </w:r>
          </w:p>
        </w:tc>
        <w:tc>
          <w:tcPr>
            <w:tcW w:w="0" w:type="auto"/>
            <w:tcBorders>
              <w:top w:val="single" w:sz="4" w:space="0" w:color="auto"/>
              <w:left w:val="nil"/>
              <w:bottom w:val="single" w:sz="4" w:space="0" w:color="auto"/>
              <w:right w:val="single" w:sz="4" w:space="0" w:color="auto"/>
            </w:tcBorders>
            <w:shd w:val="clear" w:color="auto" w:fill="auto"/>
            <w:vAlign w:val="bottom"/>
          </w:tcPr>
          <w:p w14:paraId="20FC3671" w14:textId="77777777" w:rsidR="00940F53" w:rsidRPr="00C54EA3" w:rsidRDefault="00940F53" w:rsidP="00C54EA3">
            <w:r w:rsidRPr="00C54EA3">
              <w:rPr>
                <w:color w:val="000000"/>
              </w:rPr>
              <w:t>4,840</w:t>
            </w:r>
          </w:p>
        </w:tc>
      </w:tr>
      <w:tr w:rsidR="00940F53" w:rsidRPr="00C54EA3" w14:paraId="698809C0" w14:textId="77777777" w:rsidTr="00940F53">
        <w:tc>
          <w:tcPr>
            <w:tcW w:w="0" w:type="auto"/>
          </w:tcPr>
          <w:p w14:paraId="3F25C918" w14:textId="77777777" w:rsidR="00940F53" w:rsidRPr="00C54EA3" w:rsidRDefault="00940F53" w:rsidP="00C54EA3">
            <w:pPr>
              <w:jc w:val="both"/>
              <w:rPr>
                <w:b/>
              </w:rPr>
            </w:pPr>
            <w:r w:rsidRPr="00C54EA3">
              <w:rPr>
                <w:b/>
              </w:rPr>
              <w:t>National sample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A076CF" w14:textId="77777777" w:rsidR="00940F53" w:rsidRPr="00C54EA3" w:rsidRDefault="00940F53" w:rsidP="00C54EA3">
            <w:r w:rsidRPr="00C54EA3">
              <w:rPr>
                <w:color w:val="000000"/>
              </w:rPr>
              <w:t>1,185</w:t>
            </w:r>
          </w:p>
        </w:tc>
        <w:tc>
          <w:tcPr>
            <w:tcW w:w="0" w:type="auto"/>
            <w:tcBorders>
              <w:top w:val="single" w:sz="4" w:space="0" w:color="auto"/>
              <w:left w:val="nil"/>
              <w:bottom w:val="single" w:sz="4" w:space="0" w:color="auto"/>
              <w:right w:val="single" w:sz="4" w:space="0" w:color="auto"/>
            </w:tcBorders>
            <w:shd w:val="clear" w:color="auto" w:fill="auto"/>
            <w:vAlign w:val="bottom"/>
          </w:tcPr>
          <w:p w14:paraId="51FABBEA" w14:textId="77777777" w:rsidR="00940F53" w:rsidRPr="00C54EA3" w:rsidRDefault="00940F53" w:rsidP="00C54EA3">
            <w:r w:rsidRPr="00C54EA3">
              <w:rPr>
                <w:color w:val="000000"/>
              </w:rPr>
              <w:t>43</w:t>
            </w:r>
          </w:p>
        </w:tc>
        <w:tc>
          <w:tcPr>
            <w:tcW w:w="0" w:type="auto"/>
            <w:tcBorders>
              <w:top w:val="single" w:sz="4" w:space="0" w:color="auto"/>
              <w:left w:val="nil"/>
              <w:bottom w:val="single" w:sz="4" w:space="0" w:color="auto"/>
              <w:right w:val="single" w:sz="4" w:space="0" w:color="auto"/>
            </w:tcBorders>
            <w:shd w:val="clear" w:color="auto" w:fill="auto"/>
            <w:vAlign w:val="bottom"/>
          </w:tcPr>
          <w:p w14:paraId="1B07DC3F" w14:textId="77777777" w:rsidR="00940F53" w:rsidRPr="00C54EA3" w:rsidRDefault="00940F53" w:rsidP="00C54EA3">
            <w:r w:rsidRPr="00C54EA3">
              <w:rPr>
                <w:color w:val="000000"/>
              </w:rPr>
              <w:t>2,013</w:t>
            </w:r>
          </w:p>
        </w:tc>
        <w:tc>
          <w:tcPr>
            <w:tcW w:w="0" w:type="auto"/>
            <w:tcBorders>
              <w:top w:val="single" w:sz="4" w:space="0" w:color="auto"/>
              <w:left w:val="nil"/>
              <w:bottom w:val="single" w:sz="4" w:space="0" w:color="auto"/>
              <w:right w:val="single" w:sz="4" w:space="0" w:color="auto"/>
            </w:tcBorders>
            <w:shd w:val="clear" w:color="auto" w:fill="auto"/>
            <w:vAlign w:val="bottom"/>
          </w:tcPr>
          <w:p w14:paraId="1799275E" w14:textId="77777777" w:rsidR="00940F53" w:rsidRPr="00C54EA3" w:rsidRDefault="00940F53" w:rsidP="00C54EA3">
            <w:r w:rsidRPr="00C54EA3">
              <w:rPr>
                <w:color w:val="000000"/>
              </w:rPr>
              <w:t>89</w:t>
            </w:r>
          </w:p>
        </w:tc>
      </w:tr>
    </w:tbl>
    <w:p w14:paraId="22EB0B54" w14:textId="77777777" w:rsidR="00940F53" w:rsidRPr="00C54EA3" w:rsidRDefault="00940F5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w:t>
      </w:r>
    </w:p>
    <w:p w14:paraId="2E1E63AB" w14:textId="77777777" w:rsidR="00940F53" w:rsidRPr="00C54EA3" w:rsidRDefault="00940F53" w:rsidP="00C54EA3">
      <w:pPr>
        <w:jc w:val="both"/>
      </w:pPr>
    </w:p>
    <w:p w14:paraId="042EC04A" w14:textId="77777777" w:rsidR="00C54EA3" w:rsidRDefault="00C54EA3">
      <w:pPr>
        <w:rPr>
          <w:b/>
          <w:bCs/>
        </w:rPr>
      </w:pPr>
      <w:r>
        <w:br w:type="page"/>
      </w:r>
    </w:p>
    <w:p w14:paraId="5EE25BE7" w14:textId="482D1295" w:rsidR="00940F53" w:rsidRPr="00C54EA3" w:rsidRDefault="00940F53" w:rsidP="00C54EA3">
      <w:pPr>
        <w:pStyle w:val="Caption"/>
        <w:jc w:val="both"/>
        <w:rPr>
          <w:sz w:val="24"/>
          <w:szCs w:val="24"/>
        </w:rPr>
      </w:pPr>
      <w:r w:rsidRPr="00C54EA3">
        <w:rPr>
          <w:sz w:val="24"/>
          <w:szCs w:val="24"/>
        </w:rPr>
        <w:lastRenderedPageBreak/>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13</w:t>
      </w:r>
      <w:r w:rsidR="00964364" w:rsidRPr="00C54EA3">
        <w:rPr>
          <w:noProof/>
          <w:sz w:val="24"/>
          <w:szCs w:val="24"/>
        </w:rPr>
        <w:fldChar w:fldCharType="end"/>
      </w:r>
      <w:r w:rsidRPr="00C54EA3">
        <w:rPr>
          <w:sz w:val="24"/>
          <w:szCs w:val="24"/>
        </w:rPr>
        <w:t xml:space="preserve">: </w:t>
      </w:r>
      <w:r w:rsidRPr="00C54EA3">
        <w:rPr>
          <w:noProof/>
          <w:sz w:val="24"/>
          <w:szCs w:val="24"/>
        </w:rPr>
        <w:t>Early school leavers aged 18-24 (indicative based on above sample size)</w:t>
      </w:r>
    </w:p>
    <w:p w14:paraId="2CECA362" w14:textId="77777777" w:rsidR="00940F53" w:rsidRPr="00C54EA3" w:rsidRDefault="00940F53" w:rsidP="00C54EA3">
      <w:pPr>
        <w:jc w:val="both"/>
      </w:pPr>
      <w:r w:rsidRPr="00C54EA3">
        <w:rPr>
          <w:noProof/>
          <w:lang w:eastAsia="en-GB"/>
        </w:rPr>
        <w:drawing>
          <wp:inline distT="0" distB="0" distL="0" distR="0" wp14:anchorId="15D91AD9" wp14:editId="44E7C009">
            <wp:extent cx="5486400" cy="236405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44A0C0" w14:textId="5143A24E" w:rsidR="00940F53" w:rsidRDefault="00940F5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w:t>
      </w:r>
    </w:p>
    <w:p w14:paraId="2AB66B5F" w14:textId="77777777" w:rsidR="00C54EA3" w:rsidRPr="00C54EA3" w:rsidRDefault="00C54EA3" w:rsidP="00C54EA3">
      <w:pPr>
        <w:pStyle w:val="Sourcereference"/>
        <w:jc w:val="both"/>
        <w:rPr>
          <w:sz w:val="24"/>
          <w:lang w:eastAsia="en-GB"/>
        </w:rPr>
      </w:pPr>
    </w:p>
    <w:p w14:paraId="6D605E68" w14:textId="648B72E1" w:rsidR="001516AF" w:rsidRPr="00C54EA3" w:rsidRDefault="00940F53" w:rsidP="00C54EA3">
      <w:pPr>
        <w:jc w:val="both"/>
        <w:rPr>
          <w:i/>
          <w:lang w:eastAsia="en-GB"/>
        </w:rPr>
      </w:pPr>
      <w:r w:rsidRPr="00C54EA3">
        <w:rPr>
          <w:lang w:eastAsia="en-GB"/>
        </w:rPr>
        <w:t>Note: The confidence intervals for disability group are large and so the reliability is low. It may be more useful to consider an average of several years. There were fewer than 50 observations in the narrow age group for Romania in 2015</w:t>
      </w:r>
      <w:r w:rsidR="001516AF" w:rsidRPr="00C54EA3">
        <w:rPr>
          <w:i/>
          <w:lang w:eastAsia="en-GB"/>
        </w:rPr>
        <w:t xml:space="preserve">. </w:t>
      </w:r>
    </w:p>
    <w:p w14:paraId="2512BD42" w14:textId="77777777" w:rsidR="00643FC9" w:rsidRPr="00C54EA3" w:rsidRDefault="00643FC9" w:rsidP="00C54EA3">
      <w:pPr>
        <w:jc w:val="both"/>
        <w:rPr>
          <w:lang w:eastAsia="en-GB"/>
        </w:rPr>
      </w:pPr>
    </w:p>
    <w:p w14:paraId="5AF36205" w14:textId="77777777" w:rsidR="00AC1131" w:rsidRPr="00C54EA3" w:rsidRDefault="00AC1131" w:rsidP="00C54EA3">
      <w:pPr>
        <w:pStyle w:val="Un-numberedsubheading"/>
        <w:spacing w:after="0"/>
        <w:jc w:val="both"/>
      </w:pPr>
      <w:r w:rsidRPr="00C54EA3">
        <w:t xml:space="preserve">Alternative data on disability and early school leavers </w:t>
      </w:r>
      <w:r w:rsidR="00803568" w:rsidRPr="00C54EA3">
        <w:t>provided by the national expert</w:t>
      </w:r>
      <w:r w:rsidRPr="00C54EA3">
        <w:t>:</w:t>
      </w:r>
    </w:p>
    <w:p w14:paraId="460439E0" w14:textId="77777777" w:rsidR="00FD0678" w:rsidRPr="00C54EA3" w:rsidRDefault="00FD0678" w:rsidP="00C54EA3">
      <w:pPr>
        <w:pStyle w:val="Un-numberedsubheading"/>
        <w:spacing w:after="0"/>
        <w:jc w:val="both"/>
        <w:rPr>
          <w:color w:val="000000" w:themeColor="text1"/>
        </w:rPr>
      </w:pPr>
    </w:p>
    <w:p w14:paraId="2B2D1AF8" w14:textId="77777777" w:rsidR="00447C93" w:rsidRPr="00C54EA3" w:rsidRDefault="003C2BBD" w:rsidP="00C54EA3">
      <w:pPr>
        <w:jc w:val="both"/>
        <w:rPr>
          <w:color w:val="000000" w:themeColor="text1"/>
        </w:rPr>
      </w:pPr>
      <w:r w:rsidRPr="00C54EA3">
        <w:rPr>
          <w:color w:val="000000" w:themeColor="text1"/>
        </w:rPr>
        <w:t xml:space="preserve">According to the Report </w:t>
      </w:r>
      <w:r w:rsidRPr="00C54EA3">
        <w:rPr>
          <w:i/>
          <w:color w:val="000000" w:themeColor="text1"/>
        </w:rPr>
        <w:t>Education – (lack of) chance for integration for children with disability in Romania</w:t>
      </w:r>
      <w:r w:rsidR="00BA1AD1" w:rsidRPr="00C54EA3">
        <w:rPr>
          <w:i/>
          <w:color w:val="000000" w:themeColor="text1"/>
        </w:rPr>
        <w:t>,</w:t>
      </w:r>
      <w:r w:rsidR="00FD3D97" w:rsidRPr="00C54EA3">
        <w:rPr>
          <w:rStyle w:val="FootnoteReference"/>
          <w:color w:val="000000" w:themeColor="text1"/>
        </w:rPr>
        <w:footnoteReference w:id="15"/>
      </w:r>
      <w:r w:rsidR="00284B7F" w:rsidRPr="00C54EA3">
        <w:rPr>
          <w:color w:val="000000" w:themeColor="text1"/>
        </w:rPr>
        <w:t xml:space="preserve"> </w:t>
      </w:r>
      <w:r w:rsidR="00613A78" w:rsidRPr="00C54EA3">
        <w:rPr>
          <w:color w:val="000000" w:themeColor="text1"/>
        </w:rPr>
        <w:t>of the total number of over 70</w:t>
      </w:r>
      <w:r w:rsidR="009A1785" w:rsidRPr="00C54EA3">
        <w:rPr>
          <w:color w:val="000000" w:themeColor="text1"/>
        </w:rPr>
        <w:t>,</w:t>
      </w:r>
      <w:r w:rsidR="00613A78" w:rsidRPr="00C54EA3">
        <w:rPr>
          <w:color w:val="000000" w:themeColor="text1"/>
        </w:rPr>
        <w:t xml:space="preserve">000 children with disabilities, only </w:t>
      </w:r>
      <w:r w:rsidR="00B131A5" w:rsidRPr="00C54EA3">
        <w:rPr>
          <w:color w:val="000000" w:themeColor="text1"/>
        </w:rPr>
        <w:t xml:space="preserve">approx. </w:t>
      </w:r>
      <w:r w:rsidR="00613A78" w:rsidRPr="00C54EA3">
        <w:rPr>
          <w:color w:val="000000" w:themeColor="text1"/>
        </w:rPr>
        <w:t>40</w:t>
      </w:r>
      <w:r w:rsidR="009A1785" w:rsidRPr="00C54EA3">
        <w:rPr>
          <w:color w:val="000000" w:themeColor="text1"/>
        </w:rPr>
        <w:t>,</w:t>
      </w:r>
      <w:r w:rsidR="00613A78" w:rsidRPr="00C54EA3">
        <w:rPr>
          <w:color w:val="000000" w:themeColor="text1"/>
        </w:rPr>
        <w:t xml:space="preserve">000 are </w:t>
      </w:r>
      <w:r w:rsidR="009A1785" w:rsidRPr="00C54EA3">
        <w:rPr>
          <w:color w:val="000000" w:themeColor="text1"/>
        </w:rPr>
        <w:t>registered</w:t>
      </w:r>
      <w:r w:rsidR="00613A78" w:rsidRPr="00C54EA3">
        <w:rPr>
          <w:color w:val="000000" w:themeColor="text1"/>
        </w:rPr>
        <w:t xml:space="preserve"> in any form of education. The level of non-registration of children with disabilities in any form of education is </w:t>
      </w:r>
      <w:r w:rsidR="00B131A5" w:rsidRPr="00C54EA3">
        <w:rPr>
          <w:color w:val="000000" w:themeColor="text1"/>
        </w:rPr>
        <w:t xml:space="preserve">approx. </w:t>
      </w:r>
      <w:r w:rsidR="00613A78" w:rsidRPr="00C54EA3">
        <w:rPr>
          <w:color w:val="000000" w:themeColor="text1"/>
        </w:rPr>
        <w:t>24</w:t>
      </w:r>
      <w:r w:rsidR="00FD0678" w:rsidRPr="00C54EA3">
        <w:rPr>
          <w:color w:val="000000" w:themeColor="text1"/>
        </w:rPr>
        <w:t xml:space="preserve"> </w:t>
      </w:r>
      <w:r w:rsidR="00613A78" w:rsidRPr="00C54EA3">
        <w:rPr>
          <w:color w:val="000000" w:themeColor="text1"/>
        </w:rPr>
        <w:t>%.</w:t>
      </w:r>
    </w:p>
    <w:p w14:paraId="7C7078B4" w14:textId="77777777" w:rsidR="00CD0EC8" w:rsidRPr="00C54EA3" w:rsidRDefault="00CD0EC8" w:rsidP="00C54EA3">
      <w:pPr>
        <w:jc w:val="both"/>
        <w:rPr>
          <w:color w:val="FF0000"/>
        </w:rPr>
      </w:pPr>
    </w:p>
    <w:p w14:paraId="01D37EB7" w14:textId="48D20574" w:rsidR="00BA5874" w:rsidRPr="00C54EA3" w:rsidRDefault="00CD0EC8" w:rsidP="00C54EA3">
      <w:pPr>
        <w:jc w:val="both"/>
      </w:pPr>
      <w:r w:rsidRPr="00C54EA3">
        <w:t xml:space="preserve">National statistics reveal that, in 2013, the annual rate of school leavers </w:t>
      </w:r>
      <w:r w:rsidR="00BA5874" w:rsidRPr="00C54EA3">
        <w:t xml:space="preserve">in primary and secondary education </w:t>
      </w:r>
      <w:r w:rsidRPr="00C54EA3">
        <w:t>was 1,5% for the pre-university system, in 2014 was 2% and in 2015 reached 1,8%</w:t>
      </w:r>
      <w:r w:rsidR="008868A1" w:rsidRPr="00C54EA3">
        <w:t>.</w:t>
      </w:r>
      <w:r w:rsidR="00BA5874" w:rsidRPr="00C54EA3">
        <w:rPr>
          <w:rStyle w:val="FootnoteReference"/>
        </w:rPr>
        <w:footnoteReference w:id="16"/>
      </w:r>
      <w:r w:rsidR="00BA5874" w:rsidRPr="00C54EA3">
        <w:t xml:space="preserve"> For high school, the rate is even higher – 2,9% in 2013, 3,5% in 2014 and 3,6% in 2015</w:t>
      </w:r>
      <w:r w:rsidR="008868A1" w:rsidRPr="00C54EA3">
        <w:t>.</w:t>
      </w:r>
      <w:r w:rsidR="00BA5874" w:rsidRPr="00C54EA3">
        <w:rPr>
          <w:rStyle w:val="FootnoteReference"/>
        </w:rPr>
        <w:footnoteReference w:id="17"/>
      </w:r>
      <w:r w:rsidR="00005EC7" w:rsidRPr="00C54EA3">
        <w:t xml:space="preserve"> Professional training in education and post-high school education have the</w:t>
      </w:r>
      <w:r w:rsidR="008868A1" w:rsidRPr="00C54EA3">
        <w:t xml:space="preserve"> </w:t>
      </w:r>
      <w:r w:rsidR="00005EC7" w:rsidRPr="00C54EA3">
        <w:t>high</w:t>
      </w:r>
      <w:r w:rsidR="008868A1" w:rsidRPr="00C54EA3">
        <w:t>est</w:t>
      </w:r>
      <w:r w:rsidR="00005EC7" w:rsidRPr="00C54EA3">
        <w:t xml:space="preserve"> rate of school leavers – 7,9% in 2013, 10,7% in 2014 and 9,7% in 2015, thus having an average rate of early school leavers of </w:t>
      </w:r>
      <w:r w:rsidR="00DF1967" w:rsidRPr="00C54EA3">
        <w:t>3,1% in 2013, of 4,2% in 2014 and of 3,76% in 2015</w:t>
      </w:r>
      <w:r w:rsidR="008868A1" w:rsidRPr="00C54EA3">
        <w:t>.</w:t>
      </w:r>
      <w:r w:rsidR="00DF1967" w:rsidRPr="00C54EA3">
        <w:rPr>
          <w:rStyle w:val="FootnoteReference"/>
        </w:rPr>
        <w:footnoteReference w:id="18"/>
      </w:r>
    </w:p>
    <w:p w14:paraId="29B0E68F" w14:textId="77777777" w:rsidR="00BA5874" w:rsidRPr="00C54EA3" w:rsidRDefault="00BA5874" w:rsidP="00C54EA3">
      <w:pPr>
        <w:jc w:val="both"/>
      </w:pPr>
    </w:p>
    <w:p w14:paraId="0289B8A6" w14:textId="77777777" w:rsidR="00CD0EC8" w:rsidRPr="00C54EA3" w:rsidRDefault="00CD0EC8" w:rsidP="00C54EA3">
      <w:pPr>
        <w:jc w:val="both"/>
      </w:pPr>
      <w:r w:rsidRPr="00C54EA3">
        <w:lastRenderedPageBreak/>
        <w:t xml:space="preserve">Unfortunately, national statistics make no difference </w:t>
      </w:r>
      <w:r w:rsidR="00C51DDC" w:rsidRPr="00C54EA3">
        <w:t xml:space="preserve">between the early school leavers, so there is are no specific data on people with disability and their educational attendance. </w:t>
      </w:r>
    </w:p>
    <w:p w14:paraId="787D615D" w14:textId="77777777" w:rsidR="00561FF5" w:rsidRPr="00C54EA3" w:rsidRDefault="00561FF5" w:rsidP="00C54EA3">
      <w:pPr>
        <w:jc w:val="both"/>
      </w:pPr>
    </w:p>
    <w:p w14:paraId="7D0D1B4E" w14:textId="77777777" w:rsidR="00561FF5" w:rsidRPr="00C54EA3" w:rsidRDefault="00561FF5" w:rsidP="00C54EA3">
      <w:pPr>
        <w:pStyle w:val="Heading3"/>
        <w:jc w:val="both"/>
      </w:pPr>
      <w:bookmarkStart w:id="10" w:name="_Toc508203256"/>
      <w:r w:rsidRPr="00C54EA3">
        <w:t>Tertiary education</w:t>
      </w:r>
      <w:bookmarkEnd w:id="10"/>
    </w:p>
    <w:p w14:paraId="7ADD6D1A" w14:textId="77777777" w:rsidR="00BA1AD1" w:rsidRPr="00C54EA3" w:rsidRDefault="00BA1AD1" w:rsidP="00C54EA3">
      <w:pPr>
        <w:jc w:val="both"/>
      </w:pPr>
    </w:p>
    <w:p w14:paraId="07936A17" w14:textId="481F63AD" w:rsidR="007C2343" w:rsidRDefault="007C2343" w:rsidP="00C54EA3">
      <w:pPr>
        <w:pStyle w:val="BodyText"/>
        <w:spacing w:after="0"/>
        <w:jc w:val="both"/>
      </w:pPr>
      <w:r w:rsidRPr="00C54EA3">
        <w:t>The EU-SILC sample for the target age group (aged 30-34) includes the following number of people reporting activity ‘limitation’ (a proxy for impairment/disability) although the number of missing observations is larger than the number of observations for activity limitation.</w:t>
      </w:r>
    </w:p>
    <w:p w14:paraId="773FB3F1" w14:textId="77777777" w:rsidR="00C54EA3" w:rsidRPr="00C54EA3" w:rsidRDefault="00C54EA3" w:rsidP="00C54EA3">
      <w:pPr>
        <w:pStyle w:val="BodyText"/>
        <w:spacing w:after="0"/>
        <w:jc w:val="both"/>
      </w:pPr>
    </w:p>
    <w:p w14:paraId="3D59B9AA" w14:textId="77777777" w:rsidR="007C2343" w:rsidRPr="00C54EA3" w:rsidRDefault="007C2343" w:rsidP="00C54EA3">
      <w:pPr>
        <w:pStyle w:val="Caption"/>
        <w:jc w:val="both"/>
        <w:rPr>
          <w:sz w:val="24"/>
          <w:szCs w:val="24"/>
        </w:rPr>
      </w:pPr>
      <w:r w:rsidRPr="00C54EA3">
        <w:rPr>
          <w:sz w:val="24"/>
          <w:szCs w:val="24"/>
        </w:rPr>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14</w:t>
      </w:r>
      <w:r w:rsidR="00964364" w:rsidRPr="00C54EA3">
        <w:rPr>
          <w:noProof/>
          <w:sz w:val="24"/>
          <w:szCs w:val="24"/>
        </w:rPr>
        <w:fldChar w:fldCharType="end"/>
      </w:r>
      <w:r w:rsidRPr="00C54EA3">
        <w:rPr>
          <w:sz w:val="24"/>
          <w:szCs w:val="24"/>
        </w:rPr>
        <w:t xml:space="preserve">: </w:t>
      </w:r>
      <w:bookmarkStart w:id="11" w:name="_GoBack"/>
      <w:bookmarkEnd w:id="11"/>
      <w:r w:rsidRPr="00C54EA3">
        <w:rPr>
          <w:sz w:val="24"/>
          <w:szCs w:val="24"/>
        </w:rPr>
        <w:t>EU-SILC sample size for the target age group 30-34 versus 30-39</w:t>
      </w:r>
    </w:p>
    <w:tbl>
      <w:tblPr>
        <w:tblStyle w:val="TableGrid"/>
        <w:tblW w:w="0" w:type="auto"/>
        <w:tblLook w:val="04A0" w:firstRow="1" w:lastRow="0" w:firstColumn="1" w:lastColumn="0" w:noHBand="0" w:noVBand="1"/>
      </w:tblPr>
      <w:tblGrid>
        <w:gridCol w:w="1678"/>
        <w:gridCol w:w="1945"/>
        <w:gridCol w:w="1746"/>
        <w:gridCol w:w="1945"/>
        <w:gridCol w:w="1746"/>
      </w:tblGrid>
      <w:tr w:rsidR="007C2343" w:rsidRPr="00C54EA3" w14:paraId="4FB5406A" w14:textId="77777777" w:rsidTr="00DA563B">
        <w:tc>
          <w:tcPr>
            <w:tcW w:w="0" w:type="auto"/>
          </w:tcPr>
          <w:p w14:paraId="36348946" w14:textId="77777777" w:rsidR="007C2343" w:rsidRPr="00C54EA3" w:rsidRDefault="007C2343" w:rsidP="00C54EA3">
            <w:pPr>
              <w:jc w:val="both"/>
              <w:rPr>
                <w:b/>
              </w:rPr>
            </w:pPr>
          </w:p>
        </w:tc>
        <w:tc>
          <w:tcPr>
            <w:tcW w:w="0" w:type="auto"/>
            <w:gridSpan w:val="2"/>
          </w:tcPr>
          <w:p w14:paraId="18830618" w14:textId="77777777" w:rsidR="007C2343" w:rsidRPr="00C54EA3" w:rsidRDefault="007C2343" w:rsidP="00C54EA3">
            <w:pPr>
              <w:rPr>
                <w:b/>
              </w:rPr>
            </w:pPr>
            <w:r w:rsidRPr="00C54EA3">
              <w:rPr>
                <w:b/>
              </w:rPr>
              <w:t>Age 30-34</w:t>
            </w:r>
          </w:p>
        </w:tc>
        <w:tc>
          <w:tcPr>
            <w:tcW w:w="0" w:type="auto"/>
            <w:gridSpan w:val="2"/>
          </w:tcPr>
          <w:p w14:paraId="758D7B04" w14:textId="77777777" w:rsidR="007C2343" w:rsidRPr="00C54EA3" w:rsidRDefault="007C2343" w:rsidP="00C54EA3">
            <w:pPr>
              <w:rPr>
                <w:b/>
              </w:rPr>
            </w:pPr>
            <w:r w:rsidRPr="00C54EA3">
              <w:rPr>
                <w:b/>
              </w:rPr>
              <w:t>Age 30-39</w:t>
            </w:r>
          </w:p>
        </w:tc>
      </w:tr>
      <w:tr w:rsidR="007C2343" w:rsidRPr="00C54EA3" w14:paraId="445352A5" w14:textId="77777777" w:rsidTr="00DA563B">
        <w:tc>
          <w:tcPr>
            <w:tcW w:w="0" w:type="auto"/>
          </w:tcPr>
          <w:p w14:paraId="7774F500" w14:textId="77777777" w:rsidR="007C2343" w:rsidRPr="00C54EA3" w:rsidRDefault="007C2343" w:rsidP="00C54EA3">
            <w:pPr>
              <w:jc w:val="both"/>
              <w:rPr>
                <w:b/>
              </w:rPr>
            </w:pPr>
          </w:p>
        </w:tc>
        <w:tc>
          <w:tcPr>
            <w:tcW w:w="0" w:type="auto"/>
          </w:tcPr>
          <w:p w14:paraId="5CE800AD" w14:textId="77777777" w:rsidR="007C2343" w:rsidRPr="00C54EA3" w:rsidRDefault="007C2343" w:rsidP="00C54EA3">
            <w:r w:rsidRPr="00C54EA3">
              <w:t>No activity ‘limitation’</w:t>
            </w:r>
          </w:p>
        </w:tc>
        <w:tc>
          <w:tcPr>
            <w:tcW w:w="0" w:type="auto"/>
          </w:tcPr>
          <w:p w14:paraId="4B6EDA78" w14:textId="77777777" w:rsidR="007C2343" w:rsidRPr="00C54EA3" w:rsidRDefault="007C2343" w:rsidP="00C54EA3">
            <w:r w:rsidRPr="00C54EA3">
              <w:t>Activity ‘limitation’</w:t>
            </w:r>
          </w:p>
        </w:tc>
        <w:tc>
          <w:tcPr>
            <w:tcW w:w="0" w:type="auto"/>
          </w:tcPr>
          <w:p w14:paraId="76BFFD77" w14:textId="77777777" w:rsidR="007C2343" w:rsidRPr="00C54EA3" w:rsidRDefault="007C2343" w:rsidP="00C54EA3">
            <w:r w:rsidRPr="00C54EA3">
              <w:t>No activity ‘limitation’</w:t>
            </w:r>
          </w:p>
        </w:tc>
        <w:tc>
          <w:tcPr>
            <w:tcW w:w="0" w:type="auto"/>
          </w:tcPr>
          <w:p w14:paraId="3E6BB032" w14:textId="77777777" w:rsidR="007C2343" w:rsidRPr="00C54EA3" w:rsidRDefault="007C2343" w:rsidP="00C54EA3">
            <w:r w:rsidRPr="00C54EA3">
              <w:t>Activity ‘limitation’</w:t>
            </w:r>
          </w:p>
        </w:tc>
      </w:tr>
      <w:tr w:rsidR="007C2343" w:rsidRPr="00C54EA3" w14:paraId="7C805625" w14:textId="77777777" w:rsidTr="00DA563B">
        <w:tc>
          <w:tcPr>
            <w:tcW w:w="0" w:type="auto"/>
          </w:tcPr>
          <w:p w14:paraId="4B964DAC" w14:textId="77777777" w:rsidR="007C2343" w:rsidRPr="00C54EA3" w:rsidRDefault="007C2343" w:rsidP="00C54EA3">
            <w:pPr>
              <w:jc w:val="both"/>
              <w:rPr>
                <w:b/>
              </w:rPr>
            </w:pPr>
            <w:r w:rsidRPr="00C54EA3">
              <w:rPr>
                <w:b/>
              </w:rPr>
              <w:t>EU sample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02E8F22" w14:textId="77777777" w:rsidR="007C2343" w:rsidRPr="00C54EA3" w:rsidRDefault="007C2343" w:rsidP="00C54EA3">
            <w:pPr>
              <w:tabs>
                <w:tab w:val="center" w:pos="898"/>
                <w:tab w:val="right" w:pos="1797"/>
              </w:tabs>
            </w:pPr>
            <w:r w:rsidRPr="00C54EA3">
              <w:rPr>
                <w:color w:val="000000"/>
              </w:rPr>
              <w:t>23,233</w:t>
            </w:r>
          </w:p>
        </w:tc>
        <w:tc>
          <w:tcPr>
            <w:tcW w:w="0" w:type="auto"/>
            <w:tcBorders>
              <w:top w:val="single" w:sz="4" w:space="0" w:color="auto"/>
              <w:left w:val="nil"/>
              <w:bottom w:val="single" w:sz="4" w:space="0" w:color="auto"/>
              <w:right w:val="single" w:sz="4" w:space="0" w:color="auto"/>
            </w:tcBorders>
            <w:shd w:val="clear" w:color="auto" w:fill="auto"/>
            <w:vAlign w:val="bottom"/>
          </w:tcPr>
          <w:p w14:paraId="7535E869" w14:textId="77777777" w:rsidR="007C2343" w:rsidRPr="00C54EA3" w:rsidRDefault="007C2343" w:rsidP="00C54EA3">
            <w:r w:rsidRPr="00C54EA3">
              <w:rPr>
                <w:color w:val="000000"/>
              </w:rPr>
              <w:t>2,793</w:t>
            </w:r>
          </w:p>
        </w:tc>
        <w:tc>
          <w:tcPr>
            <w:tcW w:w="0" w:type="auto"/>
            <w:tcBorders>
              <w:top w:val="single" w:sz="4" w:space="0" w:color="auto"/>
              <w:left w:val="nil"/>
              <w:bottom w:val="single" w:sz="4" w:space="0" w:color="auto"/>
              <w:right w:val="single" w:sz="4" w:space="0" w:color="auto"/>
            </w:tcBorders>
            <w:shd w:val="clear" w:color="auto" w:fill="auto"/>
            <w:vAlign w:val="bottom"/>
          </w:tcPr>
          <w:p w14:paraId="3021F4EA" w14:textId="77777777" w:rsidR="007C2343" w:rsidRPr="00C54EA3" w:rsidRDefault="007C2343" w:rsidP="00C54EA3">
            <w:r w:rsidRPr="00C54EA3">
              <w:rPr>
                <w:color w:val="000000"/>
              </w:rPr>
              <w:t>49,559</w:t>
            </w:r>
          </w:p>
        </w:tc>
        <w:tc>
          <w:tcPr>
            <w:tcW w:w="0" w:type="auto"/>
            <w:tcBorders>
              <w:top w:val="single" w:sz="4" w:space="0" w:color="auto"/>
              <w:left w:val="nil"/>
              <w:bottom w:val="single" w:sz="4" w:space="0" w:color="auto"/>
              <w:right w:val="single" w:sz="4" w:space="0" w:color="auto"/>
            </w:tcBorders>
            <w:shd w:val="clear" w:color="auto" w:fill="auto"/>
            <w:vAlign w:val="bottom"/>
          </w:tcPr>
          <w:p w14:paraId="21BD76B9" w14:textId="77777777" w:rsidR="007C2343" w:rsidRPr="00C54EA3" w:rsidRDefault="007C2343" w:rsidP="00C54EA3">
            <w:r w:rsidRPr="00C54EA3">
              <w:rPr>
                <w:color w:val="000000"/>
              </w:rPr>
              <w:t>6,572</w:t>
            </w:r>
          </w:p>
        </w:tc>
      </w:tr>
      <w:tr w:rsidR="007C2343" w:rsidRPr="00C54EA3" w14:paraId="67FB3256" w14:textId="77777777" w:rsidTr="00DA563B">
        <w:tc>
          <w:tcPr>
            <w:tcW w:w="0" w:type="auto"/>
          </w:tcPr>
          <w:p w14:paraId="6275B975" w14:textId="77777777" w:rsidR="007C2343" w:rsidRPr="00C54EA3" w:rsidRDefault="007C2343" w:rsidP="00C54EA3">
            <w:pPr>
              <w:jc w:val="both"/>
              <w:rPr>
                <w:b/>
              </w:rPr>
            </w:pPr>
            <w:r w:rsidRPr="00C54EA3">
              <w:rPr>
                <w:b/>
              </w:rPr>
              <w:t>National sample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58AC9F" w14:textId="77777777" w:rsidR="007C2343" w:rsidRPr="00C54EA3" w:rsidRDefault="007C2343" w:rsidP="00C54EA3">
            <w:r w:rsidRPr="00C54EA3">
              <w:rPr>
                <w:color w:val="000000"/>
              </w:rPr>
              <w:t>788</w:t>
            </w:r>
          </w:p>
        </w:tc>
        <w:tc>
          <w:tcPr>
            <w:tcW w:w="0" w:type="auto"/>
            <w:tcBorders>
              <w:top w:val="single" w:sz="4" w:space="0" w:color="auto"/>
              <w:left w:val="nil"/>
              <w:bottom w:val="single" w:sz="4" w:space="0" w:color="auto"/>
              <w:right w:val="single" w:sz="4" w:space="0" w:color="auto"/>
            </w:tcBorders>
            <w:shd w:val="clear" w:color="auto" w:fill="auto"/>
            <w:vAlign w:val="bottom"/>
          </w:tcPr>
          <w:p w14:paraId="39E337EA" w14:textId="77777777" w:rsidR="007C2343" w:rsidRPr="00C54EA3" w:rsidRDefault="007C2343" w:rsidP="00C54EA3">
            <w:r w:rsidRPr="00C54EA3">
              <w:rPr>
                <w:color w:val="000000"/>
              </w:rPr>
              <w:t>66</w:t>
            </w:r>
          </w:p>
        </w:tc>
        <w:tc>
          <w:tcPr>
            <w:tcW w:w="0" w:type="auto"/>
            <w:tcBorders>
              <w:top w:val="single" w:sz="4" w:space="0" w:color="auto"/>
              <w:left w:val="nil"/>
              <w:bottom w:val="single" w:sz="4" w:space="0" w:color="auto"/>
              <w:right w:val="single" w:sz="4" w:space="0" w:color="auto"/>
            </w:tcBorders>
            <w:shd w:val="clear" w:color="auto" w:fill="auto"/>
            <w:vAlign w:val="bottom"/>
          </w:tcPr>
          <w:p w14:paraId="5CE4D1EA" w14:textId="77777777" w:rsidR="007C2343" w:rsidRPr="00C54EA3" w:rsidRDefault="007C2343" w:rsidP="00C54EA3">
            <w:r w:rsidRPr="00C54EA3">
              <w:rPr>
                <w:color w:val="000000"/>
              </w:rPr>
              <w:t>1,877</w:t>
            </w:r>
          </w:p>
        </w:tc>
        <w:tc>
          <w:tcPr>
            <w:tcW w:w="0" w:type="auto"/>
            <w:tcBorders>
              <w:top w:val="single" w:sz="4" w:space="0" w:color="auto"/>
              <w:left w:val="nil"/>
              <w:bottom w:val="single" w:sz="4" w:space="0" w:color="auto"/>
              <w:right w:val="single" w:sz="4" w:space="0" w:color="auto"/>
            </w:tcBorders>
            <w:shd w:val="clear" w:color="auto" w:fill="auto"/>
            <w:vAlign w:val="bottom"/>
          </w:tcPr>
          <w:p w14:paraId="5155E9E7" w14:textId="77777777" w:rsidR="007C2343" w:rsidRPr="00C54EA3" w:rsidRDefault="007C2343" w:rsidP="00C54EA3">
            <w:r w:rsidRPr="00C54EA3">
              <w:rPr>
                <w:color w:val="000000"/>
              </w:rPr>
              <w:t>163</w:t>
            </w:r>
          </w:p>
        </w:tc>
      </w:tr>
    </w:tbl>
    <w:p w14:paraId="2AC6EAE7" w14:textId="77777777" w:rsidR="007C2343" w:rsidRPr="00C54EA3" w:rsidRDefault="007C234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w:t>
      </w:r>
    </w:p>
    <w:p w14:paraId="2C2E7BB5" w14:textId="77777777" w:rsidR="007C2343" w:rsidRPr="00C54EA3" w:rsidRDefault="007C2343" w:rsidP="00C54EA3">
      <w:pPr>
        <w:jc w:val="both"/>
        <w:rPr>
          <w:lang w:eastAsia="en-GB"/>
        </w:rPr>
      </w:pPr>
    </w:p>
    <w:p w14:paraId="0E4C95CA" w14:textId="77777777" w:rsidR="007C2343" w:rsidRPr="00C54EA3" w:rsidRDefault="007C2343" w:rsidP="00C54EA3">
      <w:pPr>
        <w:pStyle w:val="Caption"/>
        <w:jc w:val="both"/>
        <w:rPr>
          <w:sz w:val="24"/>
          <w:szCs w:val="24"/>
        </w:rPr>
      </w:pPr>
      <w:r w:rsidRPr="00C54EA3">
        <w:rPr>
          <w:sz w:val="24"/>
          <w:szCs w:val="24"/>
        </w:rPr>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15</w:t>
      </w:r>
      <w:r w:rsidR="00964364" w:rsidRPr="00C54EA3">
        <w:rPr>
          <w:noProof/>
          <w:sz w:val="24"/>
          <w:szCs w:val="24"/>
        </w:rPr>
        <w:fldChar w:fldCharType="end"/>
      </w:r>
      <w:r w:rsidRPr="00C54EA3">
        <w:rPr>
          <w:sz w:val="24"/>
          <w:szCs w:val="24"/>
        </w:rPr>
        <w:t xml:space="preserve">: </w:t>
      </w:r>
      <w:r w:rsidRPr="00C54EA3">
        <w:rPr>
          <w:noProof/>
          <w:sz w:val="24"/>
          <w:szCs w:val="24"/>
        </w:rPr>
        <w:t>Completion of tertiary or equivalent education (indicative based on above sample)</w:t>
      </w:r>
    </w:p>
    <w:p w14:paraId="2B1B215A" w14:textId="77777777" w:rsidR="007C2343" w:rsidRPr="00C54EA3" w:rsidRDefault="007C2343" w:rsidP="00C54EA3">
      <w:pPr>
        <w:jc w:val="both"/>
      </w:pPr>
      <w:r w:rsidRPr="00C54EA3">
        <w:rPr>
          <w:noProof/>
          <w:lang w:eastAsia="en-GB"/>
        </w:rPr>
        <w:drawing>
          <wp:inline distT="0" distB="0" distL="0" distR="0" wp14:anchorId="3C43BCC3" wp14:editId="0DAD6B92">
            <wp:extent cx="5486400" cy="2364059"/>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ADB51A9" w14:textId="27D1C7A0" w:rsidR="007C2343" w:rsidRDefault="007C234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w:t>
      </w:r>
    </w:p>
    <w:p w14:paraId="35E4147A" w14:textId="77777777" w:rsidR="00C54EA3" w:rsidRPr="00C54EA3" w:rsidRDefault="00C54EA3" w:rsidP="00C54EA3">
      <w:pPr>
        <w:pStyle w:val="Sourcereference"/>
        <w:jc w:val="both"/>
        <w:rPr>
          <w:sz w:val="24"/>
          <w:lang w:eastAsia="en-GB"/>
        </w:rPr>
      </w:pPr>
    </w:p>
    <w:p w14:paraId="5AD8A3AC" w14:textId="77777777" w:rsidR="007C2343" w:rsidRPr="00C54EA3" w:rsidRDefault="007C2343" w:rsidP="00C54EA3">
      <w:pPr>
        <w:pStyle w:val="BodyText"/>
        <w:jc w:val="both"/>
      </w:pPr>
      <w:r w:rsidRPr="00C54EA3">
        <w:t xml:space="preserve">The survey sample is not sufficient to provide robust trend data disaggregated by gender in the narrow EU2020 target age group. In </w:t>
      </w:r>
      <w:proofErr w:type="gramStart"/>
      <w:r w:rsidRPr="00C54EA3">
        <w:t>general</w:t>
      </w:r>
      <w:proofErr w:type="gramEnd"/>
      <w:r w:rsidRPr="00C54EA3">
        <w:t xml:space="preserve"> the achievement of tertiary education was higher for women than for men in both disabled and non-disabled groups.</w:t>
      </w:r>
    </w:p>
    <w:p w14:paraId="440BF12C" w14:textId="77777777" w:rsidR="007C2343" w:rsidRPr="00C54EA3" w:rsidRDefault="007C2343" w:rsidP="00C54EA3">
      <w:pPr>
        <w:pStyle w:val="Caption"/>
        <w:keepNext/>
        <w:jc w:val="both"/>
        <w:rPr>
          <w:sz w:val="24"/>
          <w:szCs w:val="24"/>
        </w:rPr>
      </w:pPr>
      <w:r w:rsidRPr="00C54EA3">
        <w:rPr>
          <w:sz w:val="24"/>
          <w:szCs w:val="24"/>
        </w:rPr>
        <w:lastRenderedPageBreak/>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16</w:t>
      </w:r>
      <w:r w:rsidR="00964364" w:rsidRPr="00C54EA3">
        <w:rPr>
          <w:noProof/>
          <w:sz w:val="24"/>
          <w:szCs w:val="24"/>
        </w:rPr>
        <w:fldChar w:fldCharType="end"/>
      </w:r>
      <w:r w:rsidRPr="00C54EA3">
        <w:rPr>
          <w:sz w:val="24"/>
          <w:szCs w:val="24"/>
        </w:rPr>
        <w:t>: Trends in tertiary education by disability (aged 30-34)</w:t>
      </w:r>
    </w:p>
    <w:p w14:paraId="19301036" w14:textId="77777777" w:rsidR="007C2343" w:rsidRPr="00C54EA3" w:rsidRDefault="007C2343" w:rsidP="00C54EA3">
      <w:pPr>
        <w:jc w:val="both"/>
      </w:pPr>
      <w:r w:rsidRPr="00C54EA3">
        <w:rPr>
          <w:noProof/>
          <w:lang w:eastAsia="en-GB"/>
        </w:rPr>
        <w:drawing>
          <wp:inline distT="0" distB="0" distL="0" distR="0" wp14:anchorId="510474A3" wp14:editId="32FB7EB0">
            <wp:extent cx="5486400" cy="3980329"/>
            <wp:effectExtent l="0" t="0" r="19050" b="2032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3EA9852" w14:textId="7CB78550" w:rsidR="007C2343" w:rsidRDefault="007C234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 (and preceding UDBs)</w:t>
      </w:r>
    </w:p>
    <w:p w14:paraId="27824AAC" w14:textId="77777777" w:rsidR="00C54EA3" w:rsidRPr="00C54EA3" w:rsidRDefault="00C54EA3" w:rsidP="00C54EA3">
      <w:pPr>
        <w:pStyle w:val="Sourcereference"/>
        <w:jc w:val="both"/>
        <w:rPr>
          <w:sz w:val="24"/>
          <w:lang w:eastAsia="en-GB"/>
        </w:rPr>
      </w:pPr>
    </w:p>
    <w:p w14:paraId="1D0C2CBE" w14:textId="45F1F777" w:rsidR="001516AF" w:rsidRPr="00C54EA3" w:rsidRDefault="007C2343" w:rsidP="00C54EA3">
      <w:pPr>
        <w:spacing w:line="276" w:lineRule="auto"/>
        <w:jc w:val="both"/>
        <w:rPr>
          <w:i/>
        </w:rPr>
      </w:pPr>
      <w:r w:rsidRPr="00C54EA3">
        <w:rPr>
          <w:lang w:eastAsia="en-GB"/>
        </w:rPr>
        <w:t>Fluctuations in trends for people with impairments should be treated with caution at the national level. An indicative trend line is added for illustration only</w:t>
      </w:r>
      <w:r w:rsidR="001516AF" w:rsidRPr="00C54EA3">
        <w:rPr>
          <w:i/>
        </w:rPr>
        <w:t>.</w:t>
      </w:r>
    </w:p>
    <w:p w14:paraId="771D280C" w14:textId="77777777" w:rsidR="00BA1AD1" w:rsidRPr="00C54EA3" w:rsidRDefault="00BA1AD1" w:rsidP="00C54EA3">
      <w:pPr>
        <w:spacing w:line="276" w:lineRule="auto"/>
        <w:jc w:val="both"/>
        <w:rPr>
          <w:i/>
        </w:rPr>
      </w:pPr>
    </w:p>
    <w:p w14:paraId="349648F3" w14:textId="77777777" w:rsidR="00D939BF" w:rsidRPr="00C54EA3" w:rsidRDefault="00D939BF" w:rsidP="00C54EA3">
      <w:pPr>
        <w:pStyle w:val="Un-numberedsubheading"/>
        <w:spacing w:after="0"/>
        <w:jc w:val="both"/>
      </w:pPr>
      <w:r w:rsidRPr="00C54EA3">
        <w:t xml:space="preserve">Alternative </w:t>
      </w:r>
      <w:r w:rsidR="00CC6322" w:rsidRPr="00C54EA3">
        <w:t xml:space="preserve">data on disability and </w:t>
      </w:r>
      <w:r w:rsidR="009E4D16" w:rsidRPr="00C54EA3">
        <w:t xml:space="preserve">tertiary education </w:t>
      </w:r>
      <w:r w:rsidR="00803568" w:rsidRPr="00C54EA3">
        <w:t>provided by the national expert</w:t>
      </w:r>
      <w:r w:rsidRPr="00C54EA3">
        <w:t>:</w:t>
      </w:r>
    </w:p>
    <w:p w14:paraId="04795E09" w14:textId="77777777" w:rsidR="00BA1AD1" w:rsidRPr="00C54EA3" w:rsidRDefault="00BA1AD1" w:rsidP="00C54EA3">
      <w:pPr>
        <w:pStyle w:val="Un-numberedsubheading"/>
        <w:spacing w:after="0"/>
        <w:jc w:val="both"/>
      </w:pPr>
    </w:p>
    <w:p w14:paraId="3F1924E2" w14:textId="77777777" w:rsidR="00F97B40" w:rsidRPr="00C54EA3" w:rsidRDefault="00F97B40" w:rsidP="00C54EA3">
      <w:pPr>
        <w:pStyle w:val="Un-numberedsubheading"/>
        <w:spacing w:after="0"/>
        <w:jc w:val="both"/>
        <w:rPr>
          <w:b w:val="0"/>
        </w:rPr>
      </w:pPr>
      <w:r w:rsidRPr="00C54EA3">
        <w:rPr>
          <w:b w:val="0"/>
        </w:rPr>
        <w:t>The national Strategy</w:t>
      </w:r>
      <w:r w:rsidR="00FD3D97" w:rsidRPr="00C54EA3">
        <w:rPr>
          <w:rStyle w:val="FootnoteReference"/>
          <w:b w:val="0"/>
        </w:rPr>
        <w:footnoteReference w:id="19"/>
      </w:r>
      <w:r w:rsidRPr="00C54EA3">
        <w:rPr>
          <w:b w:val="0"/>
        </w:rPr>
        <w:t xml:space="preserve"> states that </w:t>
      </w:r>
      <w:r w:rsidRPr="00C54EA3">
        <w:rPr>
          <w:b w:val="0"/>
          <w:i/>
        </w:rPr>
        <w:t xml:space="preserve">information regarding participation of persons with disabilities in tertiary (university) education </w:t>
      </w:r>
      <w:r w:rsidR="00B131A5" w:rsidRPr="00C54EA3">
        <w:rPr>
          <w:b w:val="0"/>
          <w:i/>
        </w:rPr>
        <w:t>is</w:t>
      </w:r>
      <w:r w:rsidRPr="00C54EA3">
        <w:rPr>
          <w:b w:val="0"/>
          <w:i/>
        </w:rPr>
        <w:t xml:space="preserve"> not collected at national level, but </w:t>
      </w:r>
      <w:r w:rsidR="00B131A5" w:rsidRPr="00C54EA3">
        <w:rPr>
          <w:b w:val="0"/>
          <w:i/>
        </w:rPr>
        <w:t>various</w:t>
      </w:r>
      <w:r w:rsidRPr="00C54EA3">
        <w:rPr>
          <w:b w:val="0"/>
          <w:i/>
        </w:rPr>
        <w:t xml:space="preserve"> studies in the field </w:t>
      </w:r>
      <w:r w:rsidR="00B131A5" w:rsidRPr="00C54EA3">
        <w:rPr>
          <w:b w:val="0"/>
          <w:i/>
        </w:rPr>
        <w:t>point out</w:t>
      </w:r>
      <w:r w:rsidRPr="00C54EA3">
        <w:rPr>
          <w:b w:val="0"/>
          <w:i/>
        </w:rPr>
        <w:t xml:space="preserve"> that the </w:t>
      </w:r>
      <w:r w:rsidR="00B131A5" w:rsidRPr="00C54EA3">
        <w:rPr>
          <w:b w:val="0"/>
          <w:i/>
        </w:rPr>
        <w:t>numbers are</w:t>
      </w:r>
      <w:r w:rsidRPr="00C54EA3">
        <w:rPr>
          <w:b w:val="0"/>
          <w:i/>
        </w:rPr>
        <w:t xml:space="preserve"> very low</w:t>
      </w:r>
      <w:r w:rsidRPr="00C54EA3">
        <w:rPr>
          <w:rStyle w:val="FootnoteReference"/>
          <w:b w:val="0"/>
        </w:rPr>
        <w:footnoteReference w:id="20"/>
      </w:r>
      <w:r w:rsidRPr="00C54EA3">
        <w:rPr>
          <w:b w:val="0"/>
          <w:i/>
        </w:rPr>
        <w:t xml:space="preserve"> </w:t>
      </w:r>
      <w:r w:rsidR="005411DA" w:rsidRPr="00C54EA3">
        <w:rPr>
          <w:b w:val="0"/>
        </w:rPr>
        <w:t>(</w:t>
      </w:r>
      <w:proofErr w:type="spellStart"/>
      <w:r w:rsidR="005411DA" w:rsidRPr="00C54EA3">
        <w:rPr>
          <w:b w:val="0"/>
        </w:rPr>
        <w:t>n.</w:t>
      </w:r>
      <w:r w:rsidR="007E4EFA" w:rsidRPr="00C54EA3">
        <w:rPr>
          <w:b w:val="0"/>
        </w:rPr>
        <w:t>b</w:t>
      </w:r>
      <w:r w:rsidRPr="00C54EA3">
        <w:rPr>
          <w:b w:val="0"/>
        </w:rPr>
        <w:t>.</w:t>
      </w:r>
      <w:proofErr w:type="spellEnd"/>
      <w:r w:rsidRPr="00C54EA3">
        <w:rPr>
          <w:b w:val="0"/>
        </w:rPr>
        <w:t xml:space="preserve"> </w:t>
      </w:r>
      <w:r w:rsidR="007E4EFA" w:rsidRPr="00C54EA3">
        <w:rPr>
          <w:b w:val="0"/>
        </w:rPr>
        <w:t>H</w:t>
      </w:r>
      <w:r w:rsidRPr="00C54EA3">
        <w:rPr>
          <w:b w:val="0"/>
        </w:rPr>
        <w:t xml:space="preserve">owever, the official document </w:t>
      </w:r>
      <w:r w:rsidR="007E4EFA" w:rsidRPr="00C54EA3">
        <w:rPr>
          <w:b w:val="0"/>
        </w:rPr>
        <w:t>does not give</w:t>
      </w:r>
      <w:r w:rsidRPr="00C54EA3">
        <w:rPr>
          <w:b w:val="0"/>
        </w:rPr>
        <w:t xml:space="preserve"> any concrete figure, or </w:t>
      </w:r>
      <w:r w:rsidR="00B131A5" w:rsidRPr="00C54EA3">
        <w:rPr>
          <w:b w:val="0"/>
        </w:rPr>
        <w:t>refer to</w:t>
      </w:r>
      <w:r w:rsidRPr="00C54EA3">
        <w:rPr>
          <w:b w:val="0"/>
        </w:rPr>
        <w:t xml:space="preserve"> any alternative report</w:t>
      </w:r>
      <w:r w:rsidR="00AC678E" w:rsidRPr="00C54EA3">
        <w:rPr>
          <w:b w:val="0"/>
        </w:rPr>
        <w:t xml:space="preserve"> </w:t>
      </w:r>
      <w:r w:rsidR="00B131A5" w:rsidRPr="00C54EA3">
        <w:rPr>
          <w:b w:val="0"/>
        </w:rPr>
        <w:t>that documents</w:t>
      </w:r>
      <w:r w:rsidR="00AC678E" w:rsidRPr="00C54EA3">
        <w:rPr>
          <w:b w:val="0"/>
        </w:rPr>
        <w:t xml:space="preserve"> the participation of persons with disabilities in tertiary education</w:t>
      </w:r>
      <w:r w:rsidRPr="00C54EA3">
        <w:rPr>
          <w:b w:val="0"/>
        </w:rPr>
        <w:t xml:space="preserve">). </w:t>
      </w:r>
    </w:p>
    <w:p w14:paraId="42A8D2FC" w14:textId="77777777" w:rsidR="00447C93" w:rsidRPr="00C54EA3" w:rsidRDefault="00447C93" w:rsidP="00C54EA3">
      <w:pPr>
        <w:pStyle w:val="Un-numberedsubheading"/>
        <w:spacing w:after="0"/>
        <w:jc w:val="both"/>
        <w:rPr>
          <w:b w:val="0"/>
        </w:rPr>
      </w:pPr>
    </w:p>
    <w:p w14:paraId="61B2E210" w14:textId="2191A45D" w:rsidR="00BF29D5" w:rsidRPr="00C54EA3" w:rsidRDefault="00BF29D5" w:rsidP="00C54EA3">
      <w:pPr>
        <w:pStyle w:val="Un-numberedsubheading"/>
        <w:spacing w:after="0"/>
        <w:jc w:val="both"/>
        <w:rPr>
          <w:b w:val="0"/>
        </w:rPr>
      </w:pPr>
      <w:r w:rsidRPr="00C54EA3">
        <w:rPr>
          <w:b w:val="0"/>
        </w:rPr>
        <w:t>It is to be mentioned that some universities have a planning on the number of state-funded tuition fees</w:t>
      </w:r>
      <w:r w:rsidR="002E73BB" w:rsidRPr="00C54EA3">
        <w:rPr>
          <w:b w:val="0"/>
        </w:rPr>
        <w:t xml:space="preserve"> – most of the times, these free of charge studies places were reserved for Roma community students. In the admission period of 2017, out of </w:t>
      </w:r>
      <w:r w:rsidR="002E73BB" w:rsidRPr="00C54EA3">
        <w:rPr>
          <w:b w:val="0"/>
          <w:color w:val="000000"/>
          <w:shd w:val="clear" w:color="auto" w:fill="FFFFFF"/>
        </w:rPr>
        <w:t xml:space="preserve">4.947 </w:t>
      </w:r>
      <w:r w:rsidR="002E73BB" w:rsidRPr="00C54EA3">
        <w:rPr>
          <w:b w:val="0"/>
        </w:rPr>
        <w:t>free of charge studies places at</w:t>
      </w:r>
      <w:r w:rsidR="002E73BB" w:rsidRPr="00C54EA3">
        <w:rPr>
          <w:b w:val="0"/>
          <w:color w:val="000000"/>
          <w:shd w:val="clear" w:color="auto" w:fill="FFFFFF"/>
        </w:rPr>
        <w:t xml:space="preserve"> </w:t>
      </w:r>
      <w:r w:rsidR="002E73BB" w:rsidRPr="00C54EA3">
        <w:rPr>
          <w:b w:val="0"/>
        </w:rPr>
        <w:t>the University Babes-</w:t>
      </w:r>
      <w:proofErr w:type="spellStart"/>
      <w:r w:rsidR="002E73BB" w:rsidRPr="00C54EA3">
        <w:rPr>
          <w:b w:val="0"/>
        </w:rPr>
        <w:t>Bolyai</w:t>
      </w:r>
      <w:proofErr w:type="spellEnd"/>
      <w:r w:rsidR="002E73BB" w:rsidRPr="00C54EA3">
        <w:rPr>
          <w:b w:val="0"/>
        </w:rPr>
        <w:t xml:space="preserve"> from Cluj </w:t>
      </w:r>
      <w:proofErr w:type="spellStart"/>
      <w:r w:rsidR="002E73BB" w:rsidRPr="00C54EA3">
        <w:rPr>
          <w:b w:val="0"/>
        </w:rPr>
        <w:t>Napoca</w:t>
      </w:r>
      <w:proofErr w:type="spellEnd"/>
      <w:r w:rsidR="002E73BB" w:rsidRPr="00C54EA3">
        <w:rPr>
          <w:b w:val="0"/>
        </w:rPr>
        <w:t xml:space="preserve">, 5 are </w:t>
      </w:r>
      <w:r w:rsidR="002E73BB" w:rsidRPr="00C54EA3">
        <w:rPr>
          <w:b w:val="0"/>
        </w:rPr>
        <w:lastRenderedPageBreak/>
        <w:t>for people with disabilities</w:t>
      </w:r>
      <w:r w:rsidR="00BA791E" w:rsidRPr="00C54EA3">
        <w:rPr>
          <w:rStyle w:val="FootnoteReference"/>
          <w:b w:val="0"/>
        </w:rPr>
        <w:footnoteReference w:id="21"/>
      </w:r>
      <w:r w:rsidR="00BA791E" w:rsidRPr="00C54EA3">
        <w:rPr>
          <w:b w:val="0"/>
        </w:rPr>
        <w:t xml:space="preserve"> (while 60 are for Roma community and 128 for Romanians leaving outside Romania).</w:t>
      </w:r>
      <w:r w:rsidR="005456CF" w:rsidRPr="00C54EA3">
        <w:rPr>
          <w:b w:val="0"/>
        </w:rPr>
        <w:t xml:space="preserve"> The free of charge places are only for the studies in Social Assistance</w:t>
      </w:r>
      <w:r w:rsidR="00A11A79" w:rsidRPr="00C54EA3">
        <w:rPr>
          <w:b w:val="0"/>
        </w:rPr>
        <w:t>.</w:t>
      </w:r>
      <w:r w:rsidR="005456CF" w:rsidRPr="00C54EA3">
        <w:rPr>
          <w:rStyle w:val="FootnoteReference"/>
          <w:b w:val="0"/>
        </w:rPr>
        <w:footnoteReference w:id="22"/>
      </w:r>
    </w:p>
    <w:p w14:paraId="26977BD2" w14:textId="77777777" w:rsidR="00BF29D5" w:rsidRPr="00C54EA3" w:rsidRDefault="00BF29D5" w:rsidP="00C54EA3">
      <w:pPr>
        <w:pStyle w:val="Un-numberedsubheading"/>
        <w:spacing w:after="0"/>
        <w:jc w:val="both"/>
        <w:rPr>
          <w:b w:val="0"/>
        </w:rPr>
      </w:pPr>
    </w:p>
    <w:p w14:paraId="1C75F25F" w14:textId="2CD634C3" w:rsidR="00BA791E" w:rsidRPr="00C54EA3" w:rsidRDefault="00BA791E" w:rsidP="00C54EA3">
      <w:pPr>
        <w:pStyle w:val="Un-numberedsubheading"/>
        <w:spacing w:after="0"/>
        <w:jc w:val="both"/>
        <w:rPr>
          <w:b w:val="0"/>
        </w:rPr>
      </w:pPr>
      <w:r w:rsidRPr="00C54EA3">
        <w:rPr>
          <w:b w:val="0"/>
        </w:rPr>
        <w:t xml:space="preserve">Other universities, like University </w:t>
      </w:r>
      <w:proofErr w:type="spellStart"/>
      <w:r w:rsidRPr="00C54EA3">
        <w:rPr>
          <w:b w:val="0"/>
        </w:rPr>
        <w:t>Valahia</w:t>
      </w:r>
      <w:proofErr w:type="spellEnd"/>
      <w:r w:rsidRPr="00C54EA3">
        <w:rPr>
          <w:b w:val="0"/>
        </w:rPr>
        <w:t xml:space="preserve"> from </w:t>
      </w:r>
      <w:proofErr w:type="spellStart"/>
      <w:r w:rsidRPr="00C54EA3">
        <w:rPr>
          <w:b w:val="0"/>
        </w:rPr>
        <w:t>Târgovişte</w:t>
      </w:r>
      <w:proofErr w:type="spellEnd"/>
      <w:r w:rsidRPr="00C54EA3">
        <w:rPr>
          <w:b w:val="0"/>
        </w:rPr>
        <w:t>, offers some facilities for people with disabilities willing to follow university studies</w:t>
      </w:r>
      <w:r w:rsidR="00A11A79" w:rsidRPr="00C54EA3">
        <w:rPr>
          <w:b w:val="0"/>
        </w:rPr>
        <w:t>,</w:t>
      </w:r>
      <w:r w:rsidRPr="00C54EA3">
        <w:rPr>
          <w:rStyle w:val="FootnoteReference"/>
          <w:b w:val="0"/>
        </w:rPr>
        <w:footnoteReference w:id="23"/>
      </w:r>
      <w:r w:rsidRPr="00C54EA3">
        <w:rPr>
          <w:b w:val="0"/>
        </w:rPr>
        <w:t xml:space="preserve"> such as:</w:t>
      </w:r>
    </w:p>
    <w:p w14:paraId="2F99856B" w14:textId="77777777" w:rsidR="00A11A79" w:rsidRPr="00C54EA3" w:rsidRDefault="00A11A79" w:rsidP="00C54EA3">
      <w:pPr>
        <w:pStyle w:val="Un-numberedsubheading"/>
        <w:spacing w:after="0"/>
        <w:jc w:val="both"/>
        <w:rPr>
          <w:b w:val="0"/>
        </w:rPr>
      </w:pPr>
    </w:p>
    <w:p w14:paraId="73DFDA22" w14:textId="60ED8B87" w:rsidR="00BA791E" w:rsidRPr="00C54EA3" w:rsidRDefault="00BA791E" w:rsidP="00C54EA3">
      <w:pPr>
        <w:pStyle w:val="Un-numberedsubheading"/>
        <w:spacing w:after="0"/>
        <w:ind w:left="567" w:hanging="567"/>
        <w:jc w:val="both"/>
        <w:rPr>
          <w:b w:val="0"/>
        </w:rPr>
      </w:pPr>
      <w:r w:rsidRPr="00C54EA3">
        <w:rPr>
          <w:b w:val="0"/>
        </w:rPr>
        <w:t xml:space="preserve">- </w:t>
      </w:r>
      <w:r w:rsidR="00A11A79" w:rsidRPr="00C54EA3">
        <w:rPr>
          <w:b w:val="0"/>
        </w:rPr>
        <w:tab/>
      </w:r>
      <w:r w:rsidRPr="00C54EA3">
        <w:rPr>
          <w:b w:val="0"/>
        </w:rPr>
        <w:t>exemption from paying the admission fee, no matter the number of specializations to which the person with disabilities applies;</w:t>
      </w:r>
    </w:p>
    <w:p w14:paraId="6DC05052" w14:textId="5C508BC3" w:rsidR="00BA791E" w:rsidRPr="00C54EA3" w:rsidRDefault="00BA791E" w:rsidP="00C54EA3">
      <w:pPr>
        <w:pStyle w:val="Un-numberedsubheading"/>
        <w:spacing w:after="0"/>
        <w:ind w:left="567" w:hanging="567"/>
        <w:jc w:val="both"/>
        <w:rPr>
          <w:b w:val="0"/>
        </w:rPr>
      </w:pPr>
      <w:r w:rsidRPr="00C54EA3">
        <w:rPr>
          <w:b w:val="0"/>
        </w:rPr>
        <w:t xml:space="preserve">- </w:t>
      </w:r>
      <w:r w:rsidR="00A11A79" w:rsidRPr="00C54EA3">
        <w:rPr>
          <w:b w:val="0"/>
        </w:rPr>
        <w:tab/>
      </w:r>
      <w:r w:rsidRPr="00C54EA3">
        <w:rPr>
          <w:b w:val="0"/>
        </w:rPr>
        <w:t>50% reduction of the accommodation fee at the university campus, if necessary during the admission exam;</w:t>
      </w:r>
    </w:p>
    <w:p w14:paraId="05D6514E" w14:textId="10E869C2" w:rsidR="00BA791E" w:rsidRPr="00C54EA3" w:rsidRDefault="00BA791E" w:rsidP="00C54EA3">
      <w:pPr>
        <w:pStyle w:val="Un-numberedsubheading"/>
        <w:spacing w:after="0"/>
        <w:ind w:left="567" w:hanging="567"/>
        <w:jc w:val="both"/>
        <w:rPr>
          <w:b w:val="0"/>
        </w:rPr>
      </w:pPr>
      <w:r w:rsidRPr="00C54EA3">
        <w:rPr>
          <w:b w:val="0"/>
        </w:rPr>
        <w:t xml:space="preserve">- </w:t>
      </w:r>
      <w:r w:rsidR="00A11A79" w:rsidRPr="00C54EA3">
        <w:rPr>
          <w:b w:val="0"/>
        </w:rPr>
        <w:tab/>
      </w:r>
      <w:r w:rsidRPr="00C54EA3">
        <w:rPr>
          <w:b w:val="0"/>
        </w:rPr>
        <w:t>acceptance of the simplified (non-legalized) copy of the disability certificate.</w:t>
      </w:r>
    </w:p>
    <w:p w14:paraId="4E2E9FDB" w14:textId="77777777" w:rsidR="00BA791E" w:rsidRPr="00C54EA3" w:rsidRDefault="00BA791E" w:rsidP="00C54EA3">
      <w:pPr>
        <w:pStyle w:val="Un-numberedsubheading"/>
        <w:spacing w:after="0"/>
        <w:jc w:val="both"/>
        <w:rPr>
          <w:b w:val="0"/>
        </w:rPr>
      </w:pPr>
    </w:p>
    <w:p w14:paraId="6DB77FEE" w14:textId="77777777" w:rsidR="00EB54C7" w:rsidRPr="00C54EA3" w:rsidRDefault="005C65DC" w:rsidP="00C54EA3">
      <w:pPr>
        <w:pStyle w:val="Heading2"/>
        <w:jc w:val="both"/>
        <w:rPr>
          <w:szCs w:val="24"/>
        </w:rPr>
      </w:pPr>
      <w:bookmarkStart w:id="12" w:name="_Toc440033714"/>
      <w:bookmarkStart w:id="13" w:name="_Toc508203257"/>
      <w:bookmarkEnd w:id="12"/>
      <w:r w:rsidRPr="00C54EA3">
        <w:rPr>
          <w:szCs w:val="24"/>
        </w:rPr>
        <w:t>Poverty</w:t>
      </w:r>
      <w:r w:rsidR="00D939BF" w:rsidRPr="00C54EA3">
        <w:rPr>
          <w:szCs w:val="24"/>
        </w:rPr>
        <w:t xml:space="preserve"> and social exclusion data</w:t>
      </w:r>
      <w:bookmarkEnd w:id="13"/>
    </w:p>
    <w:p w14:paraId="33B3B277" w14:textId="77777777" w:rsidR="00BA1AD1" w:rsidRPr="00C54EA3" w:rsidRDefault="00BA1AD1" w:rsidP="00C54EA3">
      <w:pPr>
        <w:jc w:val="both"/>
      </w:pPr>
    </w:p>
    <w:p w14:paraId="51C3638A" w14:textId="7B9E6B1A" w:rsidR="007C2343" w:rsidRDefault="007C2343" w:rsidP="00C54EA3">
      <w:pPr>
        <w:pStyle w:val="BodyText"/>
        <w:spacing w:after="0"/>
        <w:jc w:val="both"/>
      </w:pPr>
      <w:r w:rsidRPr="00C54EA3">
        <w:t>EU SILC data provides indicators of the key risks for people with disabilities. In addition to household risks of low work intensity, there are risks of low income (after social transfers), and material deprivation. These three measures are combined in the overall estimate of risk. The risks for older people do not include work intensity (Eurostat refers to the age group 0-59 for this measure). The survey does not distinguish ‘activity limitation’ (the proxy for impairment/disability) for children under the age of 16. Relevant data provided by the national expert is added where available.</w:t>
      </w:r>
    </w:p>
    <w:p w14:paraId="1C52D9AA" w14:textId="77777777" w:rsidR="00C54EA3" w:rsidRDefault="00C54EA3" w:rsidP="00C54EA3">
      <w:pPr>
        <w:pStyle w:val="Caption"/>
        <w:jc w:val="both"/>
        <w:rPr>
          <w:b w:val="0"/>
          <w:bCs w:val="0"/>
          <w:sz w:val="24"/>
          <w:szCs w:val="24"/>
        </w:rPr>
      </w:pPr>
    </w:p>
    <w:p w14:paraId="4FCE89E9" w14:textId="0C2C58AF" w:rsidR="007C2343" w:rsidRPr="00C54EA3" w:rsidRDefault="007C2343" w:rsidP="00C54EA3">
      <w:pPr>
        <w:pStyle w:val="Caption"/>
        <w:jc w:val="both"/>
        <w:rPr>
          <w:sz w:val="24"/>
          <w:szCs w:val="24"/>
        </w:rPr>
      </w:pPr>
      <w:r w:rsidRPr="00C54EA3">
        <w:rPr>
          <w:sz w:val="24"/>
          <w:szCs w:val="24"/>
        </w:rPr>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17</w:t>
      </w:r>
      <w:r w:rsidR="00964364" w:rsidRPr="00C54EA3">
        <w:rPr>
          <w:noProof/>
          <w:sz w:val="24"/>
          <w:szCs w:val="24"/>
        </w:rPr>
        <w:fldChar w:fldCharType="end"/>
      </w:r>
      <w:r w:rsidRPr="00C54EA3">
        <w:rPr>
          <w:sz w:val="24"/>
          <w:szCs w:val="24"/>
        </w:rPr>
        <w:t>: People living in household poverty and exclusion by disability and risk (aged 16-59)</w:t>
      </w:r>
    </w:p>
    <w:p w14:paraId="418D953F" w14:textId="77777777" w:rsidR="007C2343" w:rsidRPr="00C54EA3" w:rsidRDefault="007C2343" w:rsidP="00C54EA3">
      <w:pPr>
        <w:jc w:val="both"/>
      </w:pPr>
      <w:r w:rsidRPr="00C54EA3">
        <w:rPr>
          <w:noProof/>
          <w:lang w:eastAsia="en-GB"/>
        </w:rPr>
        <w:drawing>
          <wp:inline distT="0" distB="0" distL="0" distR="0" wp14:anchorId="06963FD7" wp14:editId="4D1BD387">
            <wp:extent cx="5486400" cy="25908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FA37769" w14:textId="77777777" w:rsidR="007C2343" w:rsidRPr="00C54EA3" w:rsidRDefault="007C234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w:t>
      </w:r>
    </w:p>
    <w:p w14:paraId="6D28FC11" w14:textId="77777777" w:rsidR="007C2343" w:rsidRPr="00C54EA3" w:rsidRDefault="007C2343" w:rsidP="00C54EA3">
      <w:pPr>
        <w:pStyle w:val="Caption"/>
        <w:jc w:val="both"/>
        <w:rPr>
          <w:sz w:val="24"/>
          <w:szCs w:val="24"/>
        </w:rPr>
      </w:pPr>
      <w:r w:rsidRPr="00C54EA3">
        <w:rPr>
          <w:sz w:val="24"/>
          <w:szCs w:val="24"/>
        </w:rPr>
        <w:lastRenderedPageBreak/>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18</w:t>
      </w:r>
      <w:r w:rsidR="00964364" w:rsidRPr="00C54EA3">
        <w:rPr>
          <w:noProof/>
          <w:sz w:val="24"/>
          <w:szCs w:val="24"/>
        </w:rPr>
        <w:fldChar w:fldCharType="end"/>
      </w:r>
      <w:r w:rsidRPr="00C54EA3">
        <w:rPr>
          <w:sz w:val="24"/>
          <w:szCs w:val="24"/>
        </w:rPr>
        <w:t>: People living in household poverty and exclusion by disability and gender (aged 16+)</w:t>
      </w:r>
    </w:p>
    <w:p w14:paraId="585AFB01" w14:textId="77777777" w:rsidR="007C2343" w:rsidRPr="00C54EA3" w:rsidRDefault="007C2343" w:rsidP="00C54EA3">
      <w:pPr>
        <w:jc w:val="both"/>
      </w:pPr>
      <w:r w:rsidRPr="00C54EA3">
        <w:rPr>
          <w:noProof/>
          <w:lang w:eastAsia="en-GB"/>
        </w:rPr>
        <w:drawing>
          <wp:inline distT="0" distB="0" distL="0" distR="0" wp14:anchorId="3F8EB344" wp14:editId="60800DA5">
            <wp:extent cx="5581934" cy="2361062"/>
            <wp:effectExtent l="0" t="0" r="0" b="12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55C45AF" w14:textId="77777777" w:rsidR="007C2343" w:rsidRPr="00C54EA3" w:rsidRDefault="007C234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w:t>
      </w:r>
    </w:p>
    <w:p w14:paraId="2FEA08C4" w14:textId="77777777" w:rsidR="007C2343" w:rsidRPr="00C54EA3" w:rsidRDefault="007C2343" w:rsidP="00C54EA3">
      <w:pPr>
        <w:jc w:val="both"/>
      </w:pPr>
    </w:p>
    <w:p w14:paraId="405F17E7" w14:textId="77777777" w:rsidR="007C2343" w:rsidRPr="00C54EA3" w:rsidRDefault="007C2343" w:rsidP="00C54EA3">
      <w:pPr>
        <w:jc w:val="both"/>
        <w:rPr>
          <w:b/>
          <w:bCs/>
        </w:rPr>
      </w:pPr>
      <w:r w:rsidRPr="00C54EA3">
        <w:br w:type="page"/>
      </w:r>
    </w:p>
    <w:p w14:paraId="1B24C473" w14:textId="77777777" w:rsidR="007C2343" w:rsidRPr="00C54EA3" w:rsidRDefault="007C2343" w:rsidP="00C54EA3">
      <w:pPr>
        <w:pStyle w:val="Caption"/>
        <w:jc w:val="both"/>
        <w:rPr>
          <w:sz w:val="24"/>
          <w:szCs w:val="24"/>
        </w:rPr>
      </w:pPr>
      <w:r w:rsidRPr="00C54EA3">
        <w:rPr>
          <w:sz w:val="24"/>
          <w:szCs w:val="24"/>
        </w:rPr>
        <w:lastRenderedPageBreak/>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19</w:t>
      </w:r>
      <w:r w:rsidR="00964364" w:rsidRPr="00C54EA3">
        <w:rPr>
          <w:noProof/>
          <w:sz w:val="24"/>
          <w:szCs w:val="24"/>
        </w:rPr>
        <w:fldChar w:fldCharType="end"/>
      </w:r>
      <w:r w:rsidRPr="00C54EA3">
        <w:rPr>
          <w:sz w:val="24"/>
          <w:szCs w:val="24"/>
        </w:rPr>
        <w:t>: Overall risk of household poverty or exclusion by disability and age (aged 16+)</w:t>
      </w:r>
    </w:p>
    <w:p w14:paraId="6C9126D9" w14:textId="77777777" w:rsidR="007C2343" w:rsidRPr="00C54EA3" w:rsidRDefault="007C2343" w:rsidP="00C54EA3">
      <w:pPr>
        <w:jc w:val="both"/>
      </w:pPr>
      <w:r w:rsidRPr="00C54EA3">
        <w:rPr>
          <w:noProof/>
          <w:lang w:eastAsia="en-GB"/>
        </w:rPr>
        <w:drawing>
          <wp:inline distT="0" distB="0" distL="0" distR="0" wp14:anchorId="2B9859E5" wp14:editId="0EBD6FB3">
            <wp:extent cx="5486400" cy="25908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78C4015" w14:textId="2C07F9B8" w:rsidR="007C2343" w:rsidRDefault="007C234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w:t>
      </w:r>
    </w:p>
    <w:p w14:paraId="4903E594" w14:textId="77777777" w:rsidR="00C54EA3" w:rsidRPr="00C54EA3" w:rsidRDefault="00C54EA3" w:rsidP="00C54EA3">
      <w:pPr>
        <w:pStyle w:val="Sourcereference"/>
        <w:jc w:val="both"/>
        <w:rPr>
          <w:sz w:val="24"/>
          <w:lang w:eastAsia="en-GB"/>
        </w:rPr>
      </w:pPr>
    </w:p>
    <w:p w14:paraId="7A8312CF" w14:textId="77777777" w:rsidR="007C2343" w:rsidRPr="00C54EA3" w:rsidRDefault="007C2343" w:rsidP="00C54EA3">
      <w:pPr>
        <w:pStyle w:val="Caption"/>
        <w:jc w:val="both"/>
        <w:rPr>
          <w:sz w:val="24"/>
          <w:szCs w:val="24"/>
        </w:rPr>
      </w:pPr>
      <w:r w:rsidRPr="00C54EA3">
        <w:rPr>
          <w:sz w:val="24"/>
          <w:szCs w:val="24"/>
        </w:rPr>
        <w:t xml:space="preserve">Table </w:t>
      </w:r>
      <w:r w:rsidR="00964364" w:rsidRPr="00C54EA3">
        <w:rPr>
          <w:sz w:val="24"/>
          <w:szCs w:val="24"/>
        </w:rPr>
        <w:fldChar w:fldCharType="begin"/>
      </w:r>
      <w:r w:rsidR="00964364" w:rsidRPr="00C54EA3">
        <w:rPr>
          <w:sz w:val="24"/>
          <w:szCs w:val="24"/>
        </w:rPr>
        <w:instrText xml:space="preserve"> SEQ Table \* ARABIC </w:instrText>
      </w:r>
      <w:r w:rsidR="00964364" w:rsidRPr="00C54EA3">
        <w:rPr>
          <w:sz w:val="24"/>
          <w:szCs w:val="24"/>
        </w:rPr>
        <w:fldChar w:fldCharType="separate"/>
      </w:r>
      <w:r w:rsidRPr="00C54EA3">
        <w:rPr>
          <w:noProof/>
          <w:sz w:val="24"/>
          <w:szCs w:val="24"/>
        </w:rPr>
        <w:t>20</w:t>
      </w:r>
      <w:r w:rsidR="00964364" w:rsidRPr="00C54EA3">
        <w:rPr>
          <w:noProof/>
          <w:sz w:val="24"/>
          <w:szCs w:val="24"/>
        </w:rPr>
        <w:fldChar w:fldCharType="end"/>
      </w:r>
      <w:r w:rsidRPr="00C54EA3">
        <w:rPr>
          <w:sz w:val="24"/>
          <w:szCs w:val="24"/>
        </w:rPr>
        <w:t>: Trends in household risk of poverty and exclusion by disability and age (EU-SILC 2015)</w:t>
      </w:r>
    </w:p>
    <w:p w14:paraId="11757D59" w14:textId="77777777" w:rsidR="007C2343" w:rsidRPr="00C54EA3" w:rsidRDefault="007C2343" w:rsidP="00C54EA3">
      <w:pPr>
        <w:jc w:val="both"/>
      </w:pPr>
      <w:r w:rsidRPr="00C54EA3">
        <w:rPr>
          <w:noProof/>
          <w:lang w:eastAsia="en-GB"/>
        </w:rPr>
        <w:drawing>
          <wp:inline distT="0" distB="0" distL="0" distR="0" wp14:anchorId="1472E0C6" wp14:editId="1625CEFE">
            <wp:extent cx="5486400" cy="4043083"/>
            <wp:effectExtent l="0" t="0" r="19050"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F936E0C" w14:textId="24D4C9A5" w:rsidR="001516AF" w:rsidRPr="00C54EA3" w:rsidRDefault="007C2343" w:rsidP="00C54EA3">
      <w:pPr>
        <w:pStyle w:val="Sourcereference"/>
        <w:jc w:val="both"/>
        <w:rPr>
          <w:sz w:val="24"/>
          <w:lang w:eastAsia="en-GB"/>
        </w:rPr>
      </w:pPr>
      <w:r w:rsidRPr="00C54EA3">
        <w:rPr>
          <w:sz w:val="24"/>
        </w:rPr>
        <w:t xml:space="preserve">Source: </w:t>
      </w:r>
      <w:r w:rsidRPr="00C54EA3">
        <w:rPr>
          <w:sz w:val="24"/>
          <w:lang w:eastAsia="en-GB"/>
        </w:rPr>
        <w:t>EUSILC UDB 2015 – version of October 2017 (and previous UDB</w:t>
      </w:r>
      <w:r w:rsidR="00FD0678" w:rsidRPr="00C54EA3">
        <w:rPr>
          <w:sz w:val="24"/>
          <w:lang w:eastAsia="en-GB"/>
        </w:rPr>
        <w:t>)</w:t>
      </w:r>
    </w:p>
    <w:p w14:paraId="75F17CE1" w14:textId="77777777" w:rsidR="00FD0678" w:rsidRPr="00C54EA3" w:rsidRDefault="00FD0678" w:rsidP="00C54EA3">
      <w:pPr>
        <w:pStyle w:val="Un-numberedsubheading"/>
        <w:spacing w:after="0"/>
        <w:jc w:val="both"/>
      </w:pPr>
    </w:p>
    <w:p w14:paraId="4C50AF43" w14:textId="77777777" w:rsidR="00557133" w:rsidRPr="00C54EA3" w:rsidRDefault="0010423F" w:rsidP="00C54EA3">
      <w:pPr>
        <w:pStyle w:val="Un-numberedsubheading"/>
        <w:spacing w:after="0"/>
        <w:jc w:val="both"/>
      </w:pPr>
      <w:r w:rsidRPr="00C54EA3">
        <w:lastRenderedPageBreak/>
        <w:t xml:space="preserve">Alternative </w:t>
      </w:r>
      <w:r w:rsidR="00CC6322" w:rsidRPr="00C54EA3">
        <w:t xml:space="preserve">data on disability and </w:t>
      </w:r>
      <w:r w:rsidR="007360E6" w:rsidRPr="00C54EA3">
        <w:t>risk</w:t>
      </w:r>
      <w:r w:rsidR="00803568" w:rsidRPr="00C54EA3">
        <w:t xml:space="preserve"> of poverty or social exclusion</w:t>
      </w:r>
      <w:r w:rsidR="007360E6" w:rsidRPr="00C54EA3">
        <w:t xml:space="preserve"> </w:t>
      </w:r>
      <w:r w:rsidR="00803568" w:rsidRPr="00C54EA3">
        <w:t>provided by the national expert</w:t>
      </w:r>
      <w:r w:rsidRPr="00C54EA3">
        <w:t>:</w:t>
      </w:r>
    </w:p>
    <w:p w14:paraId="4E6069FE" w14:textId="77777777" w:rsidR="00A5589B" w:rsidRPr="00C54EA3" w:rsidRDefault="00A5589B" w:rsidP="00C54EA3">
      <w:pPr>
        <w:pStyle w:val="Un-numberedsubheading"/>
        <w:spacing w:after="0"/>
        <w:jc w:val="both"/>
      </w:pPr>
    </w:p>
    <w:p w14:paraId="63CF0824" w14:textId="28D9C9F0" w:rsidR="00A5589B" w:rsidRPr="00C54EA3" w:rsidRDefault="006A7B5B" w:rsidP="00C54EA3">
      <w:pPr>
        <w:jc w:val="both"/>
        <w:rPr>
          <w:color w:val="000000" w:themeColor="text1"/>
        </w:rPr>
      </w:pPr>
      <w:r w:rsidRPr="00C54EA3">
        <w:t>According to the Strategy</w:t>
      </w:r>
      <w:r w:rsidR="00FD0678" w:rsidRPr="00C54EA3">
        <w:t>,</w:t>
      </w:r>
      <w:r w:rsidRPr="00C54EA3">
        <w:rPr>
          <w:rStyle w:val="FootnoteReference"/>
        </w:rPr>
        <w:footnoteReference w:id="24"/>
      </w:r>
      <w:r w:rsidRPr="00C54EA3">
        <w:t xml:space="preserve"> limited access to employment but can cause high risk of social exclusion and poverty for people with disabilities. </w:t>
      </w:r>
      <w:r w:rsidR="00A5589B" w:rsidRPr="00C54EA3">
        <w:rPr>
          <w:color w:val="000000"/>
        </w:rPr>
        <w:t xml:space="preserve">In Romania, at risk-of-poverty are persons with an equated disposable income below the risk-of-poverty threshold, which </w:t>
      </w:r>
      <w:r w:rsidR="00A5589B" w:rsidRPr="00C54EA3">
        <w:rPr>
          <w:color w:val="000000" w:themeColor="text1"/>
        </w:rPr>
        <w:t>is s</w:t>
      </w:r>
      <w:r w:rsidR="009E17AB" w:rsidRPr="00C54EA3">
        <w:rPr>
          <w:color w:val="000000" w:themeColor="text1"/>
        </w:rPr>
        <w:t>et at 60</w:t>
      </w:r>
      <w:r w:rsidR="00FD0678" w:rsidRPr="00C54EA3">
        <w:rPr>
          <w:color w:val="000000" w:themeColor="text1"/>
        </w:rPr>
        <w:t xml:space="preserve"> </w:t>
      </w:r>
      <w:r w:rsidR="009E17AB" w:rsidRPr="00C54EA3">
        <w:rPr>
          <w:color w:val="000000" w:themeColor="text1"/>
        </w:rPr>
        <w:t>% of the national medium</w:t>
      </w:r>
      <w:r w:rsidR="00A5589B" w:rsidRPr="00C54EA3">
        <w:rPr>
          <w:color w:val="000000" w:themeColor="text1"/>
        </w:rPr>
        <w:t xml:space="preserve"> disposable income (after social transfers). In Romania, the median wage is,</w:t>
      </w:r>
      <w:r w:rsidR="00660AD9" w:rsidRPr="00C54EA3">
        <w:rPr>
          <w:color w:val="000000" w:themeColor="text1"/>
        </w:rPr>
        <w:t xml:space="preserve"> in 2017,</w:t>
      </w:r>
      <w:r w:rsidR="00A5589B" w:rsidRPr="00C54EA3">
        <w:rPr>
          <w:color w:val="000000" w:themeColor="text1"/>
        </w:rPr>
        <w:t xml:space="preserve"> after social transfers, in amount of </w:t>
      </w:r>
      <w:r w:rsidR="00660AD9" w:rsidRPr="00C54EA3">
        <w:rPr>
          <w:color w:val="000000" w:themeColor="text1"/>
        </w:rPr>
        <w:t>2.196</w:t>
      </w:r>
      <w:r w:rsidR="00A5589B" w:rsidRPr="00C54EA3">
        <w:rPr>
          <w:color w:val="000000" w:themeColor="text1"/>
        </w:rPr>
        <w:t xml:space="preserve"> lei (meaning </w:t>
      </w:r>
      <w:r w:rsidR="00660AD9" w:rsidRPr="00C54EA3">
        <w:rPr>
          <w:color w:val="000000" w:themeColor="text1"/>
        </w:rPr>
        <w:t xml:space="preserve">477 </w:t>
      </w:r>
      <w:r w:rsidR="00A5589B" w:rsidRPr="00C54EA3">
        <w:rPr>
          <w:color w:val="000000" w:themeColor="text1"/>
        </w:rPr>
        <w:t>euros</w:t>
      </w:r>
      <w:r w:rsidR="00660AD9" w:rsidRPr="00C54EA3">
        <w:rPr>
          <w:color w:val="000000" w:themeColor="text1"/>
        </w:rPr>
        <w:t>, with 50 euros more than the previous year</w:t>
      </w:r>
      <w:r w:rsidR="00A5589B" w:rsidRPr="00C54EA3">
        <w:rPr>
          <w:color w:val="000000" w:themeColor="text1"/>
        </w:rPr>
        <w:t>), therefore, to be above poverty line and avoid social exclusion, people must earn at least 1.</w:t>
      </w:r>
      <w:r w:rsidR="00DD4419" w:rsidRPr="00C54EA3">
        <w:rPr>
          <w:color w:val="000000" w:themeColor="text1"/>
        </w:rPr>
        <w:t xml:space="preserve">317 </w:t>
      </w:r>
      <w:r w:rsidR="00A5589B" w:rsidRPr="00C54EA3">
        <w:rPr>
          <w:color w:val="000000" w:themeColor="text1"/>
        </w:rPr>
        <w:t xml:space="preserve">lei (meaning </w:t>
      </w:r>
      <w:r w:rsidR="00DD4419" w:rsidRPr="00C54EA3">
        <w:rPr>
          <w:color w:val="000000" w:themeColor="text1"/>
        </w:rPr>
        <w:t xml:space="preserve">286 </w:t>
      </w:r>
      <w:r w:rsidR="00A5589B" w:rsidRPr="00C54EA3">
        <w:rPr>
          <w:color w:val="000000" w:themeColor="text1"/>
        </w:rPr>
        <w:t xml:space="preserve">euros). </w:t>
      </w:r>
    </w:p>
    <w:p w14:paraId="1878493D" w14:textId="77777777" w:rsidR="00A5589B" w:rsidRPr="00C54EA3" w:rsidRDefault="00A5589B" w:rsidP="00C54EA3">
      <w:pPr>
        <w:jc w:val="both"/>
        <w:rPr>
          <w:color w:val="000000" w:themeColor="text1"/>
        </w:rPr>
      </w:pPr>
    </w:p>
    <w:p w14:paraId="599E5BCF" w14:textId="77777777" w:rsidR="00A5589B" w:rsidRPr="00C54EA3" w:rsidRDefault="00A5589B" w:rsidP="00C54EA3">
      <w:pPr>
        <w:jc w:val="both"/>
        <w:rPr>
          <w:color w:val="000000" w:themeColor="text1"/>
        </w:rPr>
      </w:pPr>
      <w:r w:rsidRPr="00C54EA3">
        <w:rPr>
          <w:color w:val="000000" w:themeColor="text1"/>
        </w:rPr>
        <w:t xml:space="preserve">In this context, by token of </w:t>
      </w:r>
      <w:r w:rsidR="00DD4419" w:rsidRPr="00C54EA3">
        <w:rPr>
          <w:color w:val="000000" w:themeColor="text1"/>
        </w:rPr>
        <w:t xml:space="preserve">GO. 60/2017 to amend </w:t>
      </w:r>
      <w:r w:rsidRPr="00C54EA3">
        <w:rPr>
          <w:color w:val="000000" w:themeColor="text1"/>
        </w:rPr>
        <w:t xml:space="preserve">Law no. 448/2006, a </w:t>
      </w:r>
      <w:r w:rsidR="009E17AB" w:rsidRPr="00C54EA3">
        <w:rPr>
          <w:color w:val="000000" w:themeColor="text1"/>
        </w:rPr>
        <w:t>severe</w:t>
      </w:r>
      <w:r w:rsidRPr="00C54EA3">
        <w:rPr>
          <w:color w:val="000000" w:themeColor="text1"/>
        </w:rPr>
        <w:t xml:space="preserve"> disabled adult earns</w:t>
      </w:r>
      <w:r w:rsidR="00DD4419" w:rsidRPr="00C54EA3">
        <w:rPr>
          <w:color w:val="000000" w:themeColor="text1"/>
        </w:rPr>
        <w:t xml:space="preserve">, </w:t>
      </w:r>
      <w:proofErr w:type="gramStart"/>
      <w:r w:rsidR="00DD4419" w:rsidRPr="00C54EA3">
        <w:rPr>
          <w:color w:val="000000" w:themeColor="text1"/>
        </w:rPr>
        <w:t>at the moment</w:t>
      </w:r>
      <w:proofErr w:type="gramEnd"/>
      <w:r w:rsidR="00DD4419" w:rsidRPr="00C54EA3">
        <w:rPr>
          <w:color w:val="000000" w:themeColor="text1"/>
        </w:rPr>
        <w:t>,</w:t>
      </w:r>
      <w:r w:rsidRPr="00C54EA3">
        <w:rPr>
          <w:color w:val="000000" w:themeColor="text1"/>
        </w:rPr>
        <w:t xml:space="preserve"> 1.296 lei monthly (meaning 289 euros) – payed by the Government - including the indemnity fo</w:t>
      </w:r>
      <w:r w:rsidR="00447C93" w:rsidRPr="00C54EA3">
        <w:rPr>
          <w:color w:val="000000" w:themeColor="text1"/>
        </w:rPr>
        <w:t xml:space="preserve">r his caregiver. </w:t>
      </w:r>
      <w:proofErr w:type="gramStart"/>
      <w:r w:rsidR="00447C93" w:rsidRPr="00C54EA3">
        <w:rPr>
          <w:color w:val="000000" w:themeColor="text1"/>
        </w:rPr>
        <w:t>So</w:t>
      </w:r>
      <w:proofErr w:type="gramEnd"/>
      <w:r w:rsidR="00447C93" w:rsidRPr="00C54EA3">
        <w:rPr>
          <w:color w:val="000000" w:themeColor="text1"/>
        </w:rPr>
        <w:t xml:space="preserve"> this person</w:t>
      </w:r>
      <w:r w:rsidRPr="00C54EA3">
        <w:rPr>
          <w:color w:val="000000" w:themeColor="text1"/>
        </w:rPr>
        <w:t xml:space="preserve"> retains only 340 lei (meaning 76 euros). </w:t>
      </w:r>
      <w:r w:rsidR="009E17AB" w:rsidRPr="00C54EA3">
        <w:rPr>
          <w:color w:val="000000" w:themeColor="text1"/>
        </w:rPr>
        <w:t xml:space="preserve">An accentuated </w:t>
      </w:r>
      <w:r w:rsidRPr="00C54EA3">
        <w:rPr>
          <w:color w:val="000000" w:themeColor="text1"/>
        </w:rPr>
        <w:t xml:space="preserve">disabled adult earns 272 lei monthly (meaning 61 euros). We have no data on how many of them have a job, and furthermore, on their wage. A </w:t>
      </w:r>
      <w:r w:rsidR="009E17AB" w:rsidRPr="00C54EA3">
        <w:rPr>
          <w:color w:val="000000" w:themeColor="text1"/>
        </w:rPr>
        <w:t>medium</w:t>
      </w:r>
      <w:r w:rsidRPr="00C54EA3">
        <w:rPr>
          <w:color w:val="000000" w:themeColor="text1"/>
        </w:rPr>
        <w:t xml:space="preserve"> disabled adult earns 39 lei monthly (meaning 9 euro). This people might have a job, but the exposure to poverty is likely present.</w:t>
      </w:r>
    </w:p>
    <w:p w14:paraId="2B350C50" w14:textId="77777777" w:rsidR="00A5589B" w:rsidRPr="00C54EA3" w:rsidRDefault="00A5589B" w:rsidP="00C54EA3">
      <w:pPr>
        <w:jc w:val="both"/>
        <w:rPr>
          <w:color w:val="000000" w:themeColor="text1"/>
        </w:rPr>
      </w:pPr>
    </w:p>
    <w:p w14:paraId="2D26130F" w14:textId="6EE9DA24" w:rsidR="00DD4419" w:rsidRPr="00C54EA3" w:rsidRDefault="00DD4419" w:rsidP="00C54EA3">
      <w:pPr>
        <w:jc w:val="both"/>
        <w:rPr>
          <w:color w:val="000000" w:themeColor="text1"/>
        </w:rPr>
      </w:pPr>
      <w:r w:rsidRPr="00C54EA3">
        <w:rPr>
          <w:color w:val="000000" w:themeColor="text1"/>
        </w:rPr>
        <w:t>Starting January 1, 2018, the social benefits received by people with disabilities will be in a higher amount</w:t>
      </w:r>
      <w:r w:rsidR="00A11A79" w:rsidRPr="00C54EA3">
        <w:rPr>
          <w:color w:val="000000" w:themeColor="text1"/>
        </w:rPr>
        <w:t>,</w:t>
      </w:r>
      <w:r w:rsidRPr="00C54EA3">
        <w:rPr>
          <w:rStyle w:val="FootnoteReference"/>
          <w:color w:val="000000" w:themeColor="text1"/>
        </w:rPr>
        <w:footnoteReference w:id="25"/>
      </w:r>
      <w:r w:rsidRPr="00C54EA3">
        <w:rPr>
          <w:color w:val="000000" w:themeColor="text1"/>
        </w:rPr>
        <w:t xml:space="preserve"> as it follows: 450 lei – meaning 98 euros for the severe disabled adult (compared to 340 lei – 76 euros </w:t>
      </w:r>
      <w:proofErr w:type="gramStart"/>
      <w:r w:rsidRPr="00C54EA3">
        <w:rPr>
          <w:color w:val="000000" w:themeColor="text1"/>
        </w:rPr>
        <w:t>at the moment</w:t>
      </w:r>
      <w:proofErr w:type="gramEnd"/>
      <w:r w:rsidRPr="00C54EA3">
        <w:rPr>
          <w:color w:val="000000" w:themeColor="text1"/>
        </w:rPr>
        <w:t>), 350 lei – meaning 76 euros for the accentuated disabled adult (compared to 272 lei – 61 euros at the moment), and 50 lei – meaning 11 euros for the medium disabled adult (compared to 39 lei – 9 euros at the moment). Another increase of the amount received by people with disabilities is planned for Ju</w:t>
      </w:r>
      <w:r w:rsidR="00791949" w:rsidRPr="00C54EA3">
        <w:rPr>
          <w:color w:val="000000" w:themeColor="text1"/>
        </w:rPr>
        <w:t xml:space="preserve">ly 2017 as it follows: 500 lei for the severe disabled adult, 375 lei for the accentuated disabled adult and 60 lei for the medium disabled adult. </w:t>
      </w:r>
    </w:p>
    <w:p w14:paraId="28B5F08E" w14:textId="77777777" w:rsidR="00DD4419" w:rsidRPr="00C54EA3" w:rsidRDefault="00DD4419" w:rsidP="00C54EA3">
      <w:pPr>
        <w:jc w:val="both"/>
        <w:rPr>
          <w:color w:val="000000" w:themeColor="text1"/>
        </w:rPr>
      </w:pPr>
    </w:p>
    <w:p w14:paraId="66DA43B6" w14:textId="4624D37B" w:rsidR="00A5589B" w:rsidRPr="00C54EA3" w:rsidRDefault="00791949" w:rsidP="00C54EA3">
      <w:pPr>
        <w:jc w:val="both"/>
        <w:rPr>
          <w:color w:val="000000" w:themeColor="text1"/>
        </w:rPr>
      </w:pPr>
      <w:r w:rsidRPr="00C54EA3">
        <w:rPr>
          <w:color w:val="000000" w:themeColor="text1"/>
        </w:rPr>
        <w:t>Although the Government tried to give higher amounts, a</w:t>
      </w:r>
      <w:r w:rsidR="00A5589B" w:rsidRPr="00C54EA3">
        <w:rPr>
          <w:color w:val="000000" w:themeColor="text1"/>
        </w:rPr>
        <w:t xml:space="preserve"> disabled adult and his caregiver (when there is the case) are </w:t>
      </w:r>
      <w:r w:rsidRPr="00C54EA3">
        <w:rPr>
          <w:color w:val="000000" w:themeColor="text1"/>
        </w:rPr>
        <w:t xml:space="preserve">still </w:t>
      </w:r>
      <w:r w:rsidR="00A5589B" w:rsidRPr="00C54EA3">
        <w:rPr>
          <w:color w:val="000000" w:themeColor="text1"/>
        </w:rPr>
        <w:t>highly exposed to poverty.</w:t>
      </w:r>
      <w:r w:rsidR="00FD0678" w:rsidRPr="00C54EA3">
        <w:rPr>
          <w:color w:val="000000" w:themeColor="text1"/>
        </w:rPr>
        <w:t xml:space="preserve"> </w:t>
      </w:r>
    </w:p>
    <w:p w14:paraId="5E648BEF" w14:textId="77777777" w:rsidR="00B2465C" w:rsidRPr="00C54EA3" w:rsidRDefault="0010423F" w:rsidP="00C54EA3">
      <w:pPr>
        <w:pStyle w:val="Heading1"/>
        <w:jc w:val="both"/>
        <w:rPr>
          <w:sz w:val="24"/>
          <w:szCs w:val="24"/>
        </w:rPr>
      </w:pPr>
      <w:bookmarkStart w:id="14" w:name="_Toc508203258"/>
      <w:r w:rsidRPr="00C54EA3">
        <w:rPr>
          <w:sz w:val="24"/>
          <w:szCs w:val="24"/>
        </w:rPr>
        <w:lastRenderedPageBreak/>
        <w:t>Description of the situation and trends in relation to each target area</w:t>
      </w:r>
      <w:bookmarkEnd w:id="14"/>
    </w:p>
    <w:p w14:paraId="52594277" w14:textId="77777777" w:rsidR="00F97B40" w:rsidRPr="00C54EA3" w:rsidRDefault="00F97B40" w:rsidP="00C54EA3">
      <w:pPr>
        <w:jc w:val="both"/>
      </w:pPr>
    </w:p>
    <w:p w14:paraId="4557A59F" w14:textId="77777777" w:rsidR="0010423F" w:rsidRPr="00C54EA3" w:rsidRDefault="0010423F" w:rsidP="00C54EA3">
      <w:pPr>
        <w:pStyle w:val="Heading2"/>
        <w:jc w:val="both"/>
        <w:rPr>
          <w:szCs w:val="24"/>
        </w:rPr>
      </w:pPr>
      <w:bookmarkStart w:id="15" w:name="_Toc508203259"/>
      <w:r w:rsidRPr="00C54EA3">
        <w:rPr>
          <w:szCs w:val="24"/>
        </w:rPr>
        <w:t>Employment</w:t>
      </w:r>
      <w:bookmarkEnd w:id="15"/>
    </w:p>
    <w:p w14:paraId="34D357E9" w14:textId="77777777" w:rsidR="00A11A79" w:rsidRPr="00C54EA3" w:rsidRDefault="00A11A79" w:rsidP="00C54EA3">
      <w:pPr>
        <w:jc w:val="both"/>
      </w:pPr>
    </w:p>
    <w:p w14:paraId="4E79AF29" w14:textId="42EDB8B2" w:rsidR="00AC678E" w:rsidRPr="00C54EA3" w:rsidRDefault="005A0669" w:rsidP="00C54EA3">
      <w:pPr>
        <w:jc w:val="both"/>
      </w:pPr>
      <w:r w:rsidRPr="00C54EA3">
        <w:t>The employment situation in Romania is characterised by a moderate general rate of employment but with a wide disability employment gap (and other disadvantaged groups). This concern was highlighted as a challenge in the 2017 CSRs, drawing attention also to low activity rates. It will be important to assess in more detail what barriers are contributing to the lack of progress on employment outcomes for disabled people in Romania. By contrast, general unemployment appears low and with a relatively narrow disability gap (this may suggest that exclusion from the labour market is relevant alongside exclusion from employment). In fact, Romania stands out among the EU countries for its very low activity rates for disabled people (below 20%)</w:t>
      </w:r>
      <w:r w:rsidR="0089403A" w:rsidRPr="00C54EA3">
        <w:t>. The activity gap is extreme for severely disabled people.</w:t>
      </w:r>
    </w:p>
    <w:p w14:paraId="2D418F0A" w14:textId="77777777" w:rsidR="005A0669" w:rsidRPr="00C54EA3" w:rsidRDefault="005A0669" w:rsidP="00C54EA3">
      <w:pPr>
        <w:jc w:val="both"/>
      </w:pPr>
    </w:p>
    <w:p w14:paraId="47192FA0" w14:textId="66934B45" w:rsidR="00AC678E" w:rsidRPr="00C54EA3" w:rsidRDefault="00B64B3C" w:rsidP="00C54EA3">
      <w:pPr>
        <w:jc w:val="both"/>
        <w:rPr>
          <w:color w:val="000000" w:themeColor="text1"/>
        </w:rPr>
      </w:pPr>
      <w:r>
        <w:rPr>
          <w:color w:val="000000" w:themeColor="text1"/>
        </w:rPr>
        <w:t>On December</w:t>
      </w:r>
      <w:r w:rsidR="00F97B40" w:rsidRPr="00C54EA3">
        <w:rPr>
          <w:color w:val="000000" w:themeColor="text1"/>
        </w:rPr>
        <w:t xml:space="preserve"> 31</w:t>
      </w:r>
      <w:r w:rsidR="00F97B40" w:rsidRPr="00C54EA3">
        <w:rPr>
          <w:color w:val="000000" w:themeColor="text1"/>
          <w:vertAlign w:val="superscript"/>
        </w:rPr>
        <w:t>st</w:t>
      </w:r>
      <w:r w:rsidR="00F97B40" w:rsidRPr="00C54EA3">
        <w:rPr>
          <w:color w:val="000000" w:themeColor="text1"/>
        </w:rPr>
        <w:t>, 2014, the employment rate of people with disabilities was</w:t>
      </w:r>
      <w:r w:rsidR="00490403" w:rsidRPr="00C54EA3">
        <w:rPr>
          <w:color w:val="000000" w:themeColor="text1"/>
        </w:rPr>
        <w:t>, according to the Ministry of Labo</w:t>
      </w:r>
      <w:r w:rsidR="00154EFD" w:rsidRPr="00C54EA3">
        <w:rPr>
          <w:color w:val="000000" w:themeColor="text1"/>
        </w:rPr>
        <w:t>u</w:t>
      </w:r>
      <w:r w:rsidR="00490403" w:rsidRPr="00C54EA3">
        <w:rPr>
          <w:color w:val="000000" w:themeColor="text1"/>
        </w:rPr>
        <w:t>r</w:t>
      </w:r>
      <w:r w:rsidR="0003279B" w:rsidRPr="00C54EA3">
        <w:rPr>
          <w:color w:val="000000" w:themeColor="text1"/>
        </w:rPr>
        <w:t xml:space="preserve"> and Social Justice</w:t>
      </w:r>
      <w:r w:rsidR="009614CA" w:rsidRPr="00C54EA3">
        <w:rPr>
          <w:color w:val="000000" w:themeColor="text1"/>
        </w:rPr>
        <w:t xml:space="preserve">, of </w:t>
      </w:r>
      <w:r w:rsidR="00F97B40" w:rsidRPr="00C54EA3">
        <w:rPr>
          <w:color w:val="000000" w:themeColor="text1"/>
        </w:rPr>
        <w:t>15</w:t>
      </w:r>
      <w:r w:rsidR="00B6554E" w:rsidRPr="00C54EA3">
        <w:rPr>
          <w:color w:val="000000" w:themeColor="text1"/>
        </w:rPr>
        <w:t>.</w:t>
      </w:r>
      <w:r w:rsidR="00F97B40" w:rsidRPr="00C54EA3">
        <w:rPr>
          <w:color w:val="000000" w:themeColor="text1"/>
        </w:rPr>
        <w:t>5</w:t>
      </w:r>
      <w:r w:rsidR="00FD0678" w:rsidRPr="00C54EA3">
        <w:rPr>
          <w:color w:val="000000" w:themeColor="text1"/>
        </w:rPr>
        <w:t xml:space="preserve"> </w:t>
      </w:r>
      <w:r w:rsidR="00F97B40" w:rsidRPr="00C54EA3">
        <w:rPr>
          <w:color w:val="000000" w:themeColor="text1"/>
        </w:rPr>
        <w:t>%</w:t>
      </w:r>
      <w:r w:rsidR="007E4EFA" w:rsidRPr="00C54EA3">
        <w:rPr>
          <w:color w:val="000000" w:themeColor="text1"/>
        </w:rPr>
        <w:t>.</w:t>
      </w:r>
      <w:r w:rsidR="00F97B40" w:rsidRPr="00C54EA3">
        <w:rPr>
          <w:color w:val="000000" w:themeColor="text1"/>
        </w:rPr>
        <w:t xml:space="preserve"> </w:t>
      </w:r>
      <w:r w:rsidR="00AC678E" w:rsidRPr="00C54EA3">
        <w:rPr>
          <w:color w:val="000000" w:themeColor="text1"/>
        </w:rPr>
        <w:t>The number of people with disabilities</w:t>
      </w:r>
      <w:r w:rsidR="00C4150F" w:rsidRPr="00C54EA3">
        <w:rPr>
          <w:color w:val="000000" w:themeColor="text1"/>
        </w:rPr>
        <w:t xml:space="preserve"> employed by the end of June 2016 is of </w:t>
      </w:r>
      <w:r w:rsidR="006D0C3C" w:rsidRPr="00C54EA3">
        <w:rPr>
          <w:color w:val="000000" w:themeColor="text1"/>
        </w:rPr>
        <w:t>33.882</w:t>
      </w:r>
      <w:r w:rsidR="00C4150F" w:rsidRPr="00C54EA3">
        <w:rPr>
          <w:color w:val="000000" w:themeColor="text1"/>
        </w:rPr>
        <w:t xml:space="preserve"> people and</w:t>
      </w:r>
      <w:r w:rsidR="00AC678E" w:rsidRPr="00C54EA3">
        <w:rPr>
          <w:color w:val="000000" w:themeColor="text1"/>
        </w:rPr>
        <w:t xml:space="preserve"> </w:t>
      </w:r>
      <w:r w:rsidR="009F5D02" w:rsidRPr="00C54EA3">
        <w:rPr>
          <w:color w:val="000000" w:themeColor="text1"/>
        </w:rPr>
        <w:t xml:space="preserve">does not indicate a significant increase in the rate of employment of </w:t>
      </w:r>
      <w:proofErr w:type="spellStart"/>
      <w:r w:rsidR="009F5D02" w:rsidRPr="00C54EA3">
        <w:rPr>
          <w:color w:val="000000" w:themeColor="text1"/>
        </w:rPr>
        <w:t>PwD</w:t>
      </w:r>
      <w:proofErr w:type="spellEnd"/>
      <w:r w:rsidR="009F5D02" w:rsidRPr="00C54EA3">
        <w:rPr>
          <w:color w:val="000000" w:themeColor="text1"/>
        </w:rPr>
        <w:t xml:space="preserve"> </w:t>
      </w:r>
      <w:r w:rsidR="00AC678E" w:rsidRPr="00C54EA3">
        <w:rPr>
          <w:color w:val="000000" w:themeColor="text1"/>
        </w:rPr>
        <w:t xml:space="preserve">compared to </w:t>
      </w:r>
      <w:r w:rsidR="00B37967" w:rsidRPr="00C54EA3">
        <w:rPr>
          <w:color w:val="000000" w:themeColor="text1"/>
        </w:rPr>
        <w:t xml:space="preserve">2015 </w:t>
      </w:r>
      <w:r w:rsidR="00C4150F" w:rsidRPr="00C54EA3">
        <w:rPr>
          <w:color w:val="000000" w:themeColor="text1"/>
        </w:rPr>
        <w:t xml:space="preserve">from 31,333 </w:t>
      </w:r>
      <w:r w:rsidR="00A0155E" w:rsidRPr="00C54EA3">
        <w:rPr>
          <w:color w:val="000000" w:themeColor="text1"/>
        </w:rPr>
        <w:t xml:space="preserve">, or to 2016, from 32.734 Although Romania used to have </w:t>
      </w:r>
      <w:r w:rsidR="00F97B40" w:rsidRPr="00C54EA3">
        <w:rPr>
          <w:color w:val="000000" w:themeColor="text1"/>
        </w:rPr>
        <w:t>legal provisio</w:t>
      </w:r>
      <w:r w:rsidR="005411DA" w:rsidRPr="00C54EA3">
        <w:rPr>
          <w:color w:val="000000" w:themeColor="text1"/>
        </w:rPr>
        <w:t xml:space="preserve">ns encouraging employment of </w:t>
      </w:r>
      <w:proofErr w:type="spellStart"/>
      <w:r w:rsidR="005411DA" w:rsidRPr="00C54EA3">
        <w:rPr>
          <w:color w:val="000000" w:themeColor="text1"/>
        </w:rPr>
        <w:t>PwD</w:t>
      </w:r>
      <w:proofErr w:type="spellEnd"/>
      <w:r w:rsidR="00F97B40" w:rsidRPr="00C54EA3">
        <w:rPr>
          <w:color w:val="000000" w:themeColor="text1"/>
        </w:rPr>
        <w:t xml:space="preserve"> such as: exemption </w:t>
      </w:r>
      <w:r w:rsidR="00AE4DCC" w:rsidRPr="00C54EA3">
        <w:rPr>
          <w:color w:val="000000" w:themeColor="text1"/>
        </w:rPr>
        <w:t>from</w:t>
      </w:r>
      <w:r w:rsidR="00F97B40" w:rsidRPr="00C54EA3">
        <w:rPr>
          <w:color w:val="000000" w:themeColor="text1"/>
        </w:rPr>
        <w:t xml:space="preserve"> income tax for severe/accentuated disability</w:t>
      </w:r>
      <w:r w:rsidR="00AE4DCC" w:rsidRPr="00C54EA3">
        <w:rPr>
          <w:color w:val="000000" w:themeColor="text1"/>
        </w:rPr>
        <w:t xml:space="preserve"> and</w:t>
      </w:r>
      <w:r w:rsidR="00F97B40" w:rsidRPr="00C54EA3">
        <w:rPr>
          <w:color w:val="000000" w:themeColor="text1"/>
        </w:rPr>
        <w:t xml:space="preserve"> </w:t>
      </w:r>
      <w:r w:rsidR="007E4EFA" w:rsidRPr="00C54EA3">
        <w:rPr>
          <w:color w:val="000000" w:themeColor="text1"/>
        </w:rPr>
        <w:t xml:space="preserve">the </w:t>
      </w:r>
      <w:r w:rsidR="00F97B40" w:rsidRPr="00C54EA3">
        <w:rPr>
          <w:color w:val="000000" w:themeColor="text1"/>
        </w:rPr>
        <w:t xml:space="preserve">possibility to </w:t>
      </w:r>
      <w:r w:rsidR="007E4EFA" w:rsidRPr="00C54EA3">
        <w:rPr>
          <w:color w:val="000000" w:themeColor="text1"/>
        </w:rPr>
        <w:t xml:space="preserve">combine </w:t>
      </w:r>
      <w:r w:rsidR="00F97B40" w:rsidRPr="00C54EA3">
        <w:rPr>
          <w:color w:val="000000" w:themeColor="text1"/>
        </w:rPr>
        <w:t>social benefits with revenues</w:t>
      </w:r>
      <w:r w:rsidR="00A0155E" w:rsidRPr="00C54EA3">
        <w:rPr>
          <w:color w:val="000000" w:themeColor="text1"/>
        </w:rPr>
        <w:t>; and e</w:t>
      </w:r>
      <w:r w:rsidR="00FB2202" w:rsidRPr="00C54EA3">
        <w:rPr>
          <w:color w:val="000000" w:themeColor="text1"/>
        </w:rPr>
        <w:t>mployers hiring young people with disabilities receiv</w:t>
      </w:r>
      <w:r w:rsidR="00A0155E" w:rsidRPr="00C54EA3">
        <w:rPr>
          <w:color w:val="000000" w:themeColor="text1"/>
        </w:rPr>
        <w:t>ing</w:t>
      </w:r>
      <w:r w:rsidR="00FB2202" w:rsidRPr="00C54EA3">
        <w:rPr>
          <w:color w:val="000000" w:themeColor="text1"/>
        </w:rPr>
        <w:t xml:space="preserve"> monthly subsidies for a period of 18 months</w:t>
      </w:r>
      <w:r w:rsidR="00AC678E" w:rsidRPr="00C54EA3">
        <w:rPr>
          <w:color w:val="000000" w:themeColor="text1"/>
        </w:rPr>
        <w:t xml:space="preserve">, </w:t>
      </w:r>
      <w:r w:rsidR="00B131A5" w:rsidRPr="00C54EA3">
        <w:rPr>
          <w:color w:val="000000" w:themeColor="text1"/>
        </w:rPr>
        <w:t>equalling</w:t>
      </w:r>
      <w:r w:rsidR="00AC678E" w:rsidRPr="00C54EA3">
        <w:rPr>
          <w:color w:val="000000" w:themeColor="text1"/>
        </w:rPr>
        <w:t>:</w:t>
      </w:r>
    </w:p>
    <w:p w14:paraId="2C44E16C" w14:textId="77777777" w:rsidR="00BA1AD1" w:rsidRPr="00C54EA3" w:rsidRDefault="00BA1AD1" w:rsidP="00C54EA3">
      <w:pPr>
        <w:jc w:val="both"/>
        <w:rPr>
          <w:color w:val="000000" w:themeColor="text1"/>
        </w:rPr>
      </w:pPr>
    </w:p>
    <w:p w14:paraId="6988ACF8" w14:textId="77777777" w:rsidR="00F97B40" w:rsidRPr="00C54EA3" w:rsidRDefault="00AC678E" w:rsidP="00C54EA3">
      <w:pPr>
        <w:pStyle w:val="ListParagraph"/>
        <w:numPr>
          <w:ilvl w:val="0"/>
          <w:numId w:val="34"/>
        </w:numPr>
        <w:ind w:left="567" w:hanging="567"/>
        <w:jc w:val="both"/>
        <w:rPr>
          <w:color w:val="000000" w:themeColor="text1"/>
        </w:rPr>
      </w:pPr>
      <w:r w:rsidRPr="00C54EA3">
        <w:rPr>
          <w:color w:val="000000" w:themeColor="text1"/>
        </w:rPr>
        <w:t>500 lei (approx. 111 euro) for hiring high-sc</w:t>
      </w:r>
      <w:r w:rsidR="00B131A5" w:rsidRPr="00C54EA3">
        <w:rPr>
          <w:color w:val="000000" w:themeColor="text1"/>
        </w:rPr>
        <w:t>h</w:t>
      </w:r>
      <w:r w:rsidRPr="00C54EA3">
        <w:rPr>
          <w:color w:val="000000" w:themeColor="text1"/>
        </w:rPr>
        <w:t>ool or professional school graduates;</w:t>
      </w:r>
    </w:p>
    <w:p w14:paraId="3B60A3E6" w14:textId="77777777" w:rsidR="00AC678E" w:rsidRPr="00C54EA3" w:rsidRDefault="00AC678E" w:rsidP="00C54EA3">
      <w:pPr>
        <w:pStyle w:val="ListParagraph"/>
        <w:numPr>
          <w:ilvl w:val="0"/>
          <w:numId w:val="34"/>
        </w:numPr>
        <w:ind w:left="567" w:hanging="567"/>
        <w:jc w:val="both"/>
        <w:rPr>
          <w:color w:val="000000" w:themeColor="text1"/>
        </w:rPr>
      </w:pPr>
      <w:r w:rsidRPr="00C54EA3">
        <w:rPr>
          <w:color w:val="000000" w:themeColor="text1"/>
        </w:rPr>
        <w:t>600 lei (approx. 133 euro) for hiring post high-school graduates with disabilities;</w:t>
      </w:r>
    </w:p>
    <w:p w14:paraId="057C876C" w14:textId="77777777" w:rsidR="00A0155E" w:rsidRPr="00C54EA3" w:rsidRDefault="00AC678E" w:rsidP="00C54EA3">
      <w:pPr>
        <w:pStyle w:val="ListParagraph"/>
        <w:numPr>
          <w:ilvl w:val="0"/>
          <w:numId w:val="34"/>
        </w:numPr>
        <w:ind w:left="567" w:hanging="567"/>
        <w:jc w:val="both"/>
        <w:rPr>
          <w:rFonts w:eastAsia="Times New Roman"/>
          <w:color w:val="000000" w:themeColor="text1"/>
          <w:lang w:eastAsia="ro-RO"/>
        </w:rPr>
      </w:pPr>
      <w:r w:rsidRPr="00C54EA3">
        <w:rPr>
          <w:color w:val="000000" w:themeColor="text1"/>
        </w:rPr>
        <w:t>750 lei (approx. 166 euro) for hiring university graduates – people with disabilities</w:t>
      </w:r>
      <w:r w:rsidR="00A0155E" w:rsidRPr="00C54EA3">
        <w:rPr>
          <w:color w:val="000000" w:themeColor="text1"/>
        </w:rPr>
        <w:t>;</w:t>
      </w:r>
    </w:p>
    <w:p w14:paraId="1563FE0C" w14:textId="26F2858B" w:rsidR="00AC678E" w:rsidRPr="00C54EA3" w:rsidRDefault="00A0155E" w:rsidP="00C54EA3">
      <w:pPr>
        <w:pStyle w:val="ListParagraph"/>
        <w:ind w:left="567"/>
        <w:jc w:val="both"/>
        <w:rPr>
          <w:rFonts w:eastAsia="Times New Roman"/>
          <w:color w:val="000000" w:themeColor="text1"/>
          <w:lang w:eastAsia="ro-RO"/>
        </w:rPr>
      </w:pPr>
      <w:r w:rsidRPr="00C54EA3">
        <w:rPr>
          <w:color w:val="000000" w:themeColor="text1"/>
        </w:rPr>
        <w:t>the new amendments to the Law no. 448/2006 are expected to lead to job losing for 2.000 people with disabilities</w:t>
      </w:r>
      <w:r w:rsidR="00A11A79" w:rsidRPr="00C54EA3">
        <w:rPr>
          <w:color w:val="000000" w:themeColor="text1"/>
        </w:rPr>
        <w:t>.</w:t>
      </w:r>
      <w:r w:rsidR="00274A2D" w:rsidRPr="00C54EA3">
        <w:rPr>
          <w:rStyle w:val="FootnoteReference"/>
          <w:color w:val="000000" w:themeColor="text1"/>
        </w:rPr>
        <w:footnoteReference w:id="26"/>
      </w:r>
      <w:r w:rsidRPr="00C54EA3">
        <w:rPr>
          <w:color w:val="000000" w:themeColor="text1"/>
        </w:rPr>
        <w:t xml:space="preserve"> The GO. 60/2017 remove</w:t>
      </w:r>
      <w:r w:rsidR="00274A2D" w:rsidRPr="00C54EA3">
        <w:rPr>
          <w:color w:val="000000" w:themeColor="text1"/>
        </w:rPr>
        <w:t>d, starting September 1,</w:t>
      </w:r>
      <w:r w:rsidRPr="00C54EA3">
        <w:rPr>
          <w:color w:val="000000" w:themeColor="text1"/>
        </w:rPr>
        <w:t xml:space="preserve"> all the fiscal and economi</w:t>
      </w:r>
      <w:r w:rsidR="00274A2D" w:rsidRPr="00C54EA3">
        <w:rPr>
          <w:color w:val="000000" w:themeColor="text1"/>
        </w:rPr>
        <w:t>c facilities of protected units, with no transitional or compensatory measures, which will lead to bankruptcy of these protected units.</w:t>
      </w:r>
      <w:r w:rsidRPr="00C54EA3">
        <w:rPr>
          <w:color w:val="000000" w:themeColor="text1"/>
        </w:rPr>
        <w:t xml:space="preserve"> </w:t>
      </w:r>
    </w:p>
    <w:p w14:paraId="3815D499" w14:textId="77777777" w:rsidR="00AC678E" w:rsidRPr="00C54EA3" w:rsidRDefault="00AC678E" w:rsidP="00C54EA3">
      <w:pPr>
        <w:jc w:val="both"/>
        <w:rPr>
          <w:color w:val="000000" w:themeColor="text1"/>
        </w:rPr>
      </w:pPr>
    </w:p>
    <w:p w14:paraId="3889BAF0" w14:textId="77777777" w:rsidR="00FB2202" w:rsidRPr="00C54EA3" w:rsidRDefault="00FB2202" w:rsidP="00C54EA3">
      <w:pPr>
        <w:jc w:val="both"/>
        <w:rPr>
          <w:color w:val="000000" w:themeColor="text1"/>
        </w:rPr>
      </w:pPr>
      <w:r w:rsidRPr="00C54EA3">
        <w:rPr>
          <w:color w:val="000000" w:themeColor="text1"/>
        </w:rPr>
        <w:t xml:space="preserve">Limited employment of people with disabilities may generate a high risk of social exclusion and poverty. Some of the main causes of the high unemployment rate identified by the national Strategy are: </w:t>
      </w:r>
    </w:p>
    <w:p w14:paraId="16D55C5C" w14:textId="77777777" w:rsidR="00A133EB" w:rsidRPr="00C54EA3" w:rsidRDefault="00A133EB" w:rsidP="00C54EA3">
      <w:pPr>
        <w:jc w:val="both"/>
        <w:rPr>
          <w:color w:val="000000" w:themeColor="text1"/>
        </w:rPr>
      </w:pPr>
    </w:p>
    <w:p w14:paraId="124500BA" w14:textId="77777777" w:rsidR="00FB2202" w:rsidRPr="00C54EA3" w:rsidRDefault="00FB2202" w:rsidP="00C54EA3">
      <w:pPr>
        <w:pStyle w:val="ListParagraph"/>
        <w:numPr>
          <w:ilvl w:val="0"/>
          <w:numId w:val="25"/>
        </w:numPr>
        <w:ind w:left="567" w:hanging="567"/>
        <w:jc w:val="both"/>
        <w:rPr>
          <w:color w:val="000000" w:themeColor="text1"/>
        </w:rPr>
      </w:pPr>
      <w:r w:rsidRPr="00C54EA3">
        <w:rPr>
          <w:color w:val="000000" w:themeColor="text1"/>
        </w:rPr>
        <w:t>Disappearance of some traditional crafts usually practiced by people with certain disabilities;</w:t>
      </w:r>
    </w:p>
    <w:p w14:paraId="7C39A819" w14:textId="77777777" w:rsidR="00FB2202" w:rsidRPr="00C54EA3" w:rsidRDefault="00FB2202" w:rsidP="00C54EA3">
      <w:pPr>
        <w:pStyle w:val="ListParagraph"/>
        <w:numPr>
          <w:ilvl w:val="0"/>
          <w:numId w:val="25"/>
        </w:numPr>
        <w:ind w:left="567" w:hanging="567"/>
        <w:jc w:val="both"/>
        <w:rPr>
          <w:color w:val="000000" w:themeColor="text1"/>
        </w:rPr>
      </w:pPr>
      <w:r w:rsidRPr="00C54EA3">
        <w:rPr>
          <w:color w:val="000000" w:themeColor="text1"/>
        </w:rPr>
        <w:t xml:space="preserve">Low accessibility </w:t>
      </w:r>
      <w:r w:rsidR="00AE4DCC" w:rsidRPr="00C54EA3">
        <w:rPr>
          <w:color w:val="000000" w:themeColor="text1"/>
        </w:rPr>
        <w:t xml:space="preserve">of transport </w:t>
      </w:r>
      <w:r w:rsidRPr="00C54EA3">
        <w:rPr>
          <w:color w:val="000000" w:themeColor="text1"/>
        </w:rPr>
        <w:t>to and from the working place;</w:t>
      </w:r>
    </w:p>
    <w:p w14:paraId="4AF2C0B1" w14:textId="77777777" w:rsidR="00FB2202" w:rsidRPr="00C54EA3" w:rsidRDefault="00FB2202" w:rsidP="00C54EA3">
      <w:pPr>
        <w:pStyle w:val="ListParagraph"/>
        <w:numPr>
          <w:ilvl w:val="0"/>
          <w:numId w:val="25"/>
        </w:numPr>
        <w:ind w:left="567" w:hanging="567"/>
        <w:jc w:val="both"/>
        <w:rPr>
          <w:color w:val="000000" w:themeColor="text1"/>
        </w:rPr>
      </w:pPr>
      <w:r w:rsidRPr="00C54EA3">
        <w:rPr>
          <w:color w:val="000000" w:themeColor="text1"/>
        </w:rPr>
        <w:t>Lack of reasonable accommodation at the workplace and lack of accessible technologies;</w:t>
      </w:r>
    </w:p>
    <w:p w14:paraId="5DD718A5" w14:textId="77777777" w:rsidR="00FB2202" w:rsidRPr="00C54EA3" w:rsidRDefault="00FB2202" w:rsidP="00C54EA3">
      <w:pPr>
        <w:pStyle w:val="ListParagraph"/>
        <w:numPr>
          <w:ilvl w:val="0"/>
          <w:numId w:val="25"/>
        </w:numPr>
        <w:ind w:left="567" w:hanging="567"/>
        <w:jc w:val="both"/>
        <w:rPr>
          <w:color w:val="000000" w:themeColor="text1"/>
        </w:rPr>
      </w:pPr>
      <w:r w:rsidRPr="00C54EA3">
        <w:rPr>
          <w:color w:val="000000" w:themeColor="text1"/>
        </w:rPr>
        <w:lastRenderedPageBreak/>
        <w:t>Low level</w:t>
      </w:r>
      <w:r w:rsidR="00AE4DCC" w:rsidRPr="00C54EA3">
        <w:rPr>
          <w:color w:val="000000" w:themeColor="text1"/>
        </w:rPr>
        <w:t>s</w:t>
      </w:r>
      <w:r w:rsidRPr="00C54EA3">
        <w:rPr>
          <w:color w:val="000000" w:themeColor="text1"/>
        </w:rPr>
        <w:t xml:space="preserve"> of information amongst em</w:t>
      </w:r>
      <w:r w:rsidR="00BA1BCE" w:rsidRPr="00C54EA3">
        <w:rPr>
          <w:color w:val="000000" w:themeColor="text1"/>
        </w:rPr>
        <w:t xml:space="preserve">ployers with regards to </w:t>
      </w:r>
      <w:r w:rsidR="00B6554E" w:rsidRPr="00C54EA3">
        <w:rPr>
          <w:color w:val="000000" w:themeColor="text1"/>
        </w:rPr>
        <w:t xml:space="preserve">the economic </w:t>
      </w:r>
      <w:r w:rsidR="00BA1BCE" w:rsidRPr="00C54EA3">
        <w:rPr>
          <w:color w:val="000000" w:themeColor="text1"/>
        </w:rPr>
        <w:t xml:space="preserve">benefits </w:t>
      </w:r>
      <w:r w:rsidR="00AE4DCC" w:rsidRPr="00C54EA3">
        <w:rPr>
          <w:color w:val="000000" w:themeColor="text1"/>
        </w:rPr>
        <w:t xml:space="preserve">(e.g. subsidies) </w:t>
      </w:r>
      <w:r w:rsidR="00BA1BCE" w:rsidRPr="00C54EA3">
        <w:rPr>
          <w:color w:val="000000" w:themeColor="text1"/>
        </w:rPr>
        <w:t>for employing people with disabilities;</w:t>
      </w:r>
    </w:p>
    <w:p w14:paraId="1FD963AF" w14:textId="77777777" w:rsidR="00BA1BCE" w:rsidRPr="00C54EA3" w:rsidRDefault="00BA1BCE" w:rsidP="00C54EA3">
      <w:pPr>
        <w:pStyle w:val="ListParagraph"/>
        <w:numPr>
          <w:ilvl w:val="0"/>
          <w:numId w:val="25"/>
        </w:numPr>
        <w:ind w:left="567" w:hanging="567"/>
        <w:jc w:val="both"/>
        <w:rPr>
          <w:color w:val="000000" w:themeColor="text1"/>
        </w:rPr>
      </w:pPr>
      <w:r w:rsidRPr="00C54EA3">
        <w:rPr>
          <w:color w:val="000000" w:themeColor="text1"/>
        </w:rPr>
        <w:t>Limits of the education system</w:t>
      </w:r>
      <w:r w:rsidR="00AE4DCC" w:rsidRPr="00C54EA3">
        <w:rPr>
          <w:color w:val="000000" w:themeColor="text1"/>
        </w:rPr>
        <w:t>,</w:t>
      </w:r>
      <w:r w:rsidRPr="00C54EA3">
        <w:rPr>
          <w:color w:val="000000" w:themeColor="text1"/>
        </w:rPr>
        <w:t xml:space="preserve"> which does not cover</w:t>
      </w:r>
      <w:r w:rsidR="00AE4DCC" w:rsidRPr="00C54EA3">
        <w:rPr>
          <w:color w:val="000000" w:themeColor="text1"/>
        </w:rPr>
        <w:t xml:space="preserve"> necessary </w:t>
      </w:r>
      <w:r w:rsidR="00CB2BC5" w:rsidRPr="00C54EA3">
        <w:rPr>
          <w:color w:val="000000" w:themeColor="text1"/>
        </w:rPr>
        <w:t>training</w:t>
      </w:r>
      <w:r w:rsidRPr="00C54EA3">
        <w:rPr>
          <w:color w:val="000000" w:themeColor="text1"/>
        </w:rPr>
        <w:t xml:space="preserve"> for people with disabilities. </w:t>
      </w:r>
    </w:p>
    <w:p w14:paraId="71D20012" w14:textId="77777777" w:rsidR="00F97B40" w:rsidRPr="00C54EA3" w:rsidRDefault="00F97B40" w:rsidP="00C54EA3">
      <w:pPr>
        <w:jc w:val="both"/>
        <w:rPr>
          <w:color w:val="000000" w:themeColor="text1"/>
        </w:rPr>
      </w:pPr>
    </w:p>
    <w:p w14:paraId="2059A807" w14:textId="77777777" w:rsidR="00956561" w:rsidRPr="00C54EA3" w:rsidRDefault="00956561" w:rsidP="00C54EA3">
      <w:pPr>
        <w:jc w:val="both"/>
        <w:rPr>
          <w:color w:val="000000" w:themeColor="text1"/>
        </w:rPr>
      </w:pPr>
      <w:r w:rsidRPr="00C54EA3">
        <w:rPr>
          <w:color w:val="000000" w:themeColor="text1"/>
        </w:rPr>
        <w:t xml:space="preserve">In this context, an increased participation of people with disabilities </w:t>
      </w:r>
      <w:r w:rsidR="008401C1" w:rsidRPr="00C54EA3">
        <w:rPr>
          <w:color w:val="000000" w:themeColor="text1"/>
        </w:rPr>
        <w:t>i</w:t>
      </w:r>
      <w:r w:rsidRPr="00C54EA3">
        <w:rPr>
          <w:color w:val="000000" w:themeColor="text1"/>
        </w:rPr>
        <w:t xml:space="preserve">n an inclusive labour market would ensure the economic valorisation of their potential and would contribute to reaching the national targets.  </w:t>
      </w:r>
    </w:p>
    <w:p w14:paraId="2A8FE731" w14:textId="77777777" w:rsidR="0010423F" w:rsidRPr="00C54EA3" w:rsidRDefault="0010423F" w:rsidP="00C54EA3">
      <w:pPr>
        <w:jc w:val="both"/>
      </w:pPr>
    </w:p>
    <w:p w14:paraId="6DA503B0" w14:textId="77777777" w:rsidR="0010423F" w:rsidRPr="00C54EA3" w:rsidRDefault="0010423F" w:rsidP="00C54EA3">
      <w:pPr>
        <w:pStyle w:val="Heading2"/>
        <w:jc w:val="both"/>
        <w:rPr>
          <w:szCs w:val="24"/>
        </w:rPr>
      </w:pPr>
      <w:bookmarkStart w:id="16" w:name="_Toc508203260"/>
      <w:r w:rsidRPr="00C54EA3">
        <w:rPr>
          <w:szCs w:val="24"/>
        </w:rPr>
        <w:t>Education</w:t>
      </w:r>
      <w:bookmarkEnd w:id="16"/>
    </w:p>
    <w:p w14:paraId="3CB3C690" w14:textId="77777777" w:rsidR="00A11A79" w:rsidRPr="00C54EA3" w:rsidRDefault="00A11A79" w:rsidP="00C54EA3">
      <w:pPr>
        <w:jc w:val="both"/>
      </w:pPr>
    </w:p>
    <w:p w14:paraId="074B0134" w14:textId="7BB07CE1" w:rsidR="0079087F" w:rsidRPr="00C54EA3" w:rsidRDefault="0089403A" w:rsidP="00C54EA3">
      <w:pPr>
        <w:jc w:val="both"/>
      </w:pPr>
      <w:proofErr w:type="gramStart"/>
      <w:r w:rsidRPr="00C54EA3">
        <w:t>On the basis of</w:t>
      </w:r>
      <w:proofErr w:type="gramEnd"/>
      <w:r w:rsidRPr="00C54EA3">
        <w:t xml:space="preserve"> the EU level data, there is concern that the general level of early school leaving in Romania is high although the disability gap appears proportionally moderate compared to countries facing the same situation. Nevertheless, the 2017 Joint Employment Report highlights the general NEET rates in Romania as a ‘critical situation’ and this affects young disabled people disproportionately. Similarly, the low tertiary education rate in Romania has raised concern and disabled people are more affected (although the disability gap appears moderate compared to some other countries).</w:t>
      </w:r>
      <w:r w:rsidR="0077527C" w:rsidRPr="00C54EA3">
        <w:t xml:space="preserve"> </w:t>
      </w:r>
      <w:r w:rsidR="0079087F" w:rsidRPr="00C54EA3">
        <w:t xml:space="preserve">Disabled students' access to education it's full </w:t>
      </w:r>
      <w:proofErr w:type="gramStart"/>
      <w:r w:rsidR="0079087F" w:rsidRPr="00C54EA3">
        <w:t>with</w:t>
      </w:r>
      <w:proofErr w:type="gramEnd"/>
      <w:r w:rsidR="0079087F" w:rsidRPr="00C54EA3">
        <w:t xml:space="preserve"> many obstacles, including negative attitudes of school principals, teachers, lack of adequate materials</w:t>
      </w:r>
    </w:p>
    <w:p w14:paraId="6379E5EF" w14:textId="77777777" w:rsidR="0079087F" w:rsidRPr="00C54EA3" w:rsidRDefault="0079087F" w:rsidP="00C54EA3">
      <w:pPr>
        <w:jc w:val="both"/>
      </w:pPr>
      <w:r w:rsidRPr="00C54EA3">
        <w:t>learning and working methods, lack of adequate means of access to their disability,</w:t>
      </w:r>
    </w:p>
    <w:p w14:paraId="6E8B5C50" w14:textId="73BCB17D" w:rsidR="00A133EB" w:rsidRPr="00C54EA3" w:rsidRDefault="0079087F" w:rsidP="00C54EA3">
      <w:pPr>
        <w:jc w:val="both"/>
      </w:pPr>
      <w:r w:rsidRPr="00C54EA3">
        <w:t xml:space="preserve">lack of support services (counselling, school and professional orientation, etc.). Even more, the absence of commitment in the Romanian legislation of ensuring an inclusive education for children with disabilities maintains a tendency to ignore and even to rejecting children with disability from receiving at high quality education and inclusion into society. </w:t>
      </w:r>
    </w:p>
    <w:p w14:paraId="7361601F" w14:textId="77777777" w:rsidR="0089403A" w:rsidRPr="00C54EA3" w:rsidRDefault="0089403A" w:rsidP="00C54EA3">
      <w:pPr>
        <w:jc w:val="both"/>
      </w:pPr>
    </w:p>
    <w:p w14:paraId="79B17739" w14:textId="77777777" w:rsidR="00882ADA" w:rsidRPr="00C54EA3" w:rsidRDefault="00882ADA" w:rsidP="00C54EA3">
      <w:pPr>
        <w:jc w:val="both"/>
      </w:pPr>
      <w:r w:rsidRPr="00C54EA3">
        <w:t xml:space="preserve">Another important problem is the lack/insufficiency of early education, such as access to children with disabilities to pre-school education is very limited and there is a major deficit in early identification and proper school orientation from early ages. </w:t>
      </w:r>
    </w:p>
    <w:p w14:paraId="2837D08D" w14:textId="77777777" w:rsidR="00882ADA" w:rsidRPr="00C54EA3" w:rsidRDefault="00882ADA" w:rsidP="00C54EA3">
      <w:pPr>
        <w:jc w:val="both"/>
      </w:pPr>
    </w:p>
    <w:p w14:paraId="00487B08" w14:textId="77777777" w:rsidR="00102650" w:rsidRPr="00C54EA3" w:rsidRDefault="00102650" w:rsidP="00C54EA3">
      <w:pPr>
        <w:jc w:val="both"/>
      </w:pPr>
      <w:r w:rsidRPr="00C54EA3">
        <w:t xml:space="preserve">A major challenge of </w:t>
      </w:r>
      <w:r w:rsidR="00882ADA" w:rsidRPr="00C54EA3">
        <w:t xml:space="preserve">the </w:t>
      </w:r>
      <w:r w:rsidRPr="00C54EA3">
        <w:t xml:space="preserve">education system in Romania is </w:t>
      </w:r>
      <w:r w:rsidRPr="00C54EA3">
        <w:rPr>
          <w:i/>
        </w:rPr>
        <w:t xml:space="preserve">monitoring access of persons with disabilities’ access to different forms of education and training. </w:t>
      </w:r>
      <w:r w:rsidRPr="00C54EA3">
        <w:t xml:space="preserve">The main official sources of information at national level are: </w:t>
      </w:r>
      <w:proofErr w:type="gramStart"/>
      <w:r w:rsidR="00882ADA" w:rsidRPr="00C54EA3">
        <w:t>the</w:t>
      </w:r>
      <w:proofErr w:type="gramEnd"/>
      <w:r w:rsidR="00882ADA" w:rsidRPr="00C54EA3">
        <w:t xml:space="preserve"> </w:t>
      </w:r>
      <w:r w:rsidRPr="00C54EA3">
        <w:t xml:space="preserve">National Authority for Persons with Disabilities, National Authority for Child Protection, National Institute of Statistics, Ministry of Education and Research. Yet information is collected </w:t>
      </w:r>
      <w:r w:rsidR="00882ADA" w:rsidRPr="00C54EA3">
        <w:t>at</w:t>
      </w:r>
      <w:r w:rsidRPr="00C54EA3">
        <w:t xml:space="preserve"> different </w:t>
      </w:r>
      <w:r w:rsidR="00882ADA" w:rsidRPr="00C54EA3">
        <w:t xml:space="preserve">times </w:t>
      </w:r>
      <w:r w:rsidRPr="00C54EA3">
        <w:t xml:space="preserve">of the year, using different criteria – thus resulting in significant variances and data cannot be compared/complemented between the educational and social assistance systems. </w:t>
      </w:r>
    </w:p>
    <w:p w14:paraId="77A49228" w14:textId="77777777" w:rsidR="00545431" w:rsidRPr="00C54EA3" w:rsidRDefault="00545431" w:rsidP="00C54EA3">
      <w:pPr>
        <w:jc w:val="both"/>
        <w:rPr>
          <w:noProof/>
          <w:color w:val="000000" w:themeColor="text1"/>
          <w:lang w:eastAsia="ro-RO"/>
        </w:rPr>
      </w:pPr>
    </w:p>
    <w:p w14:paraId="7F8807D5" w14:textId="77777777" w:rsidR="00102650" w:rsidRPr="00C54EA3" w:rsidRDefault="00102650" w:rsidP="00C54EA3">
      <w:pPr>
        <w:jc w:val="both"/>
        <w:rPr>
          <w:noProof/>
          <w:color w:val="000000" w:themeColor="text1"/>
          <w:lang w:eastAsia="ro-RO"/>
        </w:rPr>
      </w:pPr>
      <w:r w:rsidRPr="00C54EA3">
        <w:rPr>
          <w:noProof/>
          <w:color w:val="000000" w:themeColor="text1"/>
          <w:lang w:eastAsia="ro-RO"/>
        </w:rPr>
        <w:t>For instance, according to the data collected from the County School Inspectorates</w:t>
      </w:r>
      <w:r w:rsidR="00FD0678" w:rsidRPr="00C54EA3">
        <w:rPr>
          <w:noProof/>
          <w:color w:val="000000" w:themeColor="text1"/>
          <w:lang w:eastAsia="ro-RO"/>
        </w:rPr>
        <w:t>,</w:t>
      </w:r>
      <w:r w:rsidR="000F2E7A" w:rsidRPr="00C54EA3">
        <w:rPr>
          <w:rStyle w:val="FootnoteReference"/>
          <w:noProof/>
          <w:color w:val="000000" w:themeColor="text1"/>
          <w:lang w:eastAsia="ro-RO"/>
        </w:rPr>
        <w:footnoteReference w:id="27"/>
      </w:r>
      <w:r w:rsidRPr="00C54EA3">
        <w:rPr>
          <w:noProof/>
          <w:color w:val="000000" w:themeColor="text1"/>
          <w:lang w:eastAsia="ro-RO"/>
        </w:rPr>
        <w:t xml:space="preserve"> the situation of </w:t>
      </w:r>
      <w:r w:rsidRPr="00C54EA3">
        <w:rPr>
          <w:i/>
          <w:noProof/>
          <w:color w:val="000000" w:themeColor="text1"/>
          <w:lang w:eastAsia="ro-RO"/>
        </w:rPr>
        <w:t xml:space="preserve">children with disabilities </w:t>
      </w:r>
      <w:r w:rsidRPr="00C54EA3">
        <w:rPr>
          <w:noProof/>
          <w:color w:val="000000" w:themeColor="text1"/>
          <w:lang w:eastAsia="ro-RO"/>
        </w:rPr>
        <w:t>points to the following:</w:t>
      </w:r>
    </w:p>
    <w:p w14:paraId="20A175FC" w14:textId="77777777" w:rsidR="00102650" w:rsidRPr="00C54EA3" w:rsidRDefault="00102650" w:rsidP="00C54EA3">
      <w:pPr>
        <w:jc w:val="both"/>
        <w:rPr>
          <w:noProof/>
          <w:color w:val="000000" w:themeColor="text1"/>
          <w:lang w:eastAsia="ro-RO"/>
        </w:rPr>
      </w:pPr>
    </w:p>
    <w:p w14:paraId="6D3804E8" w14:textId="77777777" w:rsidR="00102650" w:rsidRPr="00C54EA3" w:rsidRDefault="00102650" w:rsidP="00C54EA3">
      <w:pPr>
        <w:pStyle w:val="ListParagraph"/>
        <w:numPr>
          <w:ilvl w:val="0"/>
          <w:numId w:val="25"/>
        </w:numPr>
        <w:ind w:left="567" w:hanging="567"/>
        <w:jc w:val="both"/>
        <w:rPr>
          <w:noProof/>
          <w:color w:val="000000" w:themeColor="text1"/>
          <w:lang w:eastAsia="ro-RO"/>
        </w:rPr>
      </w:pPr>
      <w:r w:rsidRPr="00C54EA3">
        <w:rPr>
          <w:noProof/>
          <w:color w:val="000000" w:themeColor="text1"/>
          <w:lang w:eastAsia="ro-RO"/>
        </w:rPr>
        <w:t xml:space="preserve">Children with disabilities attending </w:t>
      </w:r>
      <w:r w:rsidR="00882ADA" w:rsidRPr="00C54EA3">
        <w:rPr>
          <w:noProof/>
          <w:color w:val="000000" w:themeColor="text1"/>
          <w:lang w:eastAsia="ro-RO"/>
        </w:rPr>
        <w:t>mainstream</w:t>
      </w:r>
      <w:r w:rsidRPr="00C54EA3">
        <w:rPr>
          <w:noProof/>
          <w:color w:val="000000" w:themeColor="text1"/>
          <w:lang w:eastAsia="ro-RO"/>
        </w:rPr>
        <w:t xml:space="preserve"> education: 13</w:t>
      </w:r>
      <w:r w:rsidR="00882ADA" w:rsidRPr="00C54EA3">
        <w:rPr>
          <w:noProof/>
          <w:color w:val="000000" w:themeColor="text1"/>
          <w:lang w:eastAsia="ro-RO"/>
        </w:rPr>
        <w:t>,</w:t>
      </w:r>
      <w:r w:rsidRPr="00C54EA3">
        <w:rPr>
          <w:noProof/>
          <w:color w:val="000000" w:themeColor="text1"/>
          <w:lang w:eastAsia="ro-RO"/>
        </w:rPr>
        <w:t>844</w:t>
      </w:r>
      <w:r w:rsidR="000F2E7A" w:rsidRPr="00C54EA3">
        <w:rPr>
          <w:noProof/>
          <w:color w:val="000000" w:themeColor="text1"/>
          <w:lang w:eastAsia="ro-RO"/>
        </w:rPr>
        <w:t xml:space="preserve"> (</w:t>
      </w:r>
      <w:r w:rsidR="00E63B63" w:rsidRPr="00C54EA3">
        <w:rPr>
          <w:noProof/>
          <w:color w:val="000000" w:themeColor="text1"/>
          <w:lang w:eastAsia="ro-RO"/>
        </w:rPr>
        <w:t>34</w:t>
      </w:r>
      <w:r w:rsidR="00882ADA" w:rsidRPr="00C54EA3">
        <w:rPr>
          <w:noProof/>
          <w:color w:val="000000" w:themeColor="text1"/>
          <w:lang w:eastAsia="ro-RO"/>
        </w:rPr>
        <w:t>.</w:t>
      </w:r>
      <w:r w:rsidR="00E63B63" w:rsidRPr="00C54EA3">
        <w:rPr>
          <w:noProof/>
          <w:color w:val="000000" w:themeColor="text1"/>
          <w:lang w:eastAsia="ro-RO"/>
        </w:rPr>
        <w:t>5%)</w:t>
      </w:r>
    </w:p>
    <w:p w14:paraId="1921399C" w14:textId="77777777" w:rsidR="00102650" w:rsidRPr="00C54EA3" w:rsidRDefault="00102650" w:rsidP="00C54EA3">
      <w:pPr>
        <w:pStyle w:val="ListParagraph"/>
        <w:numPr>
          <w:ilvl w:val="0"/>
          <w:numId w:val="25"/>
        </w:numPr>
        <w:ind w:left="567" w:hanging="567"/>
        <w:jc w:val="both"/>
        <w:rPr>
          <w:noProof/>
          <w:color w:val="000000" w:themeColor="text1"/>
          <w:lang w:eastAsia="ro-RO"/>
        </w:rPr>
      </w:pPr>
      <w:r w:rsidRPr="00C54EA3">
        <w:rPr>
          <w:noProof/>
          <w:color w:val="000000" w:themeColor="text1"/>
          <w:lang w:eastAsia="ro-RO"/>
        </w:rPr>
        <w:lastRenderedPageBreak/>
        <w:t>Children with disabilities attending special education: 24</w:t>
      </w:r>
      <w:r w:rsidR="00882ADA" w:rsidRPr="00C54EA3">
        <w:rPr>
          <w:noProof/>
          <w:color w:val="000000" w:themeColor="text1"/>
          <w:lang w:eastAsia="ro-RO"/>
        </w:rPr>
        <w:t>,</w:t>
      </w:r>
      <w:r w:rsidRPr="00C54EA3">
        <w:rPr>
          <w:noProof/>
          <w:color w:val="000000" w:themeColor="text1"/>
          <w:lang w:eastAsia="ro-RO"/>
        </w:rPr>
        <w:t xml:space="preserve">974 </w:t>
      </w:r>
      <w:r w:rsidR="00E63B63" w:rsidRPr="00C54EA3">
        <w:rPr>
          <w:noProof/>
          <w:color w:val="000000" w:themeColor="text1"/>
          <w:lang w:eastAsia="ro-RO"/>
        </w:rPr>
        <w:t>(62</w:t>
      </w:r>
      <w:r w:rsidR="00882ADA" w:rsidRPr="00C54EA3">
        <w:rPr>
          <w:noProof/>
          <w:color w:val="000000" w:themeColor="text1"/>
          <w:lang w:eastAsia="ro-RO"/>
        </w:rPr>
        <w:t>.</w:t>
      </w:r>
      <w:r w:rsidR="00E63B63" w:rsidRPr="00C54EA3">
        <w:rPr>
          <w:noProof/>
          <w:color w:val="000000" w:themeColor="text1"/>
          <w:lang w:eastAsia="ro-RO"/>
        </w:rPr>
        <w:t>3%)</w:t>
      </w:r>
    </w:p>
    <w:p w14:paraId="2AABDCEE" w14:textId="77777777" w:rsidR="00102650" w:rsidRPr="00C54EA3" w:rsidRDefault="00102650" w:rsidP="00C54EA3">
      <w:pPr>
        <w:pStyle w:val="ListParagraph"/>
        <w:numPr>
          <w:ilvl w:val="0"/>
          <w:numId w:val="25"/>
        </w:numPr>
        <w:ind w:left="567" w:hanging="567"/>
        <w:jc w:val="both"/>
        <w:rPr>
          <w:noProof/>
          <w:color w:val="000000" w:themeColor="text1"/>
          <w:lang w:eastAsia="ro-RO"/>
        </w:rPr>
      </w:pPr>
      <w:r w:rsidRPr="00C54EA3">
        <w:rPr>
          <w:noProof/>
          <w:color w:val="000000" w:themeColor="text1"/>
          <w:lang w:eastAsia="ro-RO"/>
        </w:rPr>
        <w:t>Children with disabilities registered as home-based education: 1</w:t>
      </w:r>
      <w:r w:rsidR="00882ADA" w:rsidRPr="00C54EA3">
        <w:rPr>
          <w:noProof/>
          <w:color w:val="000000" w:themeColor="text1"/>
          <w:lang w:eastAsia="ro-RO"/>
        </w:rPr>
        <w:t>,</w:t>
      </w:r>
      <w:r w:rsidRPr="00C54EA3">
        <w:rPr>
          <w:noProof/>
          <w:color w:val="000000" w:themeColor="text1"/>
          <w:lang w:eastAsia="ro-RO"/>
        </w:rPr>
        <w:t>292</w:t>
      </w:r>
    </w:p>
    <w:p w14:paraId="1E476656" w14:textId="77777777" w:rsidR="00004E03" w:rsidRPr="00C54EA3" w:rsidRDefault="00102650" w:rsidP="00C54EA3">
      <w:pPr>
        <w:pStyle w:val="ListParagraph"/>
        <w:numPr>
          <w:ilvl w:val="0"/>
          <w:numId w:val="25"/>
        </w:numPr>
        <w:ind w:left="567" w:hanging="567"/>
        <w:jc w:val="both"/>
        <w:rPr>
          <w:noProof/>
          <w:color w:val="000000" w:themeColor="text1"/>
          <w:lang w:eastAsia="ro-RO"/>
        </w:rPr>
      </w:pPr>
      <w:r w:rsidRPr="00C54EA3">
        <w:rPr>
          <w:noProof/>
          <w:color w:val="000000" w:themeColor="text1"/>
          <w:lang w:eastAsia="ro-RO"/>
        </w:rPr>
        <w:t>Total no. of children</w:t>
      </w:r>
      <w:r w:rsidR="000F2E7A" w:rsidRPr="00C54EA3">
        <w:rPr>
          <w:noProof/>
          <w:color w:val="000000" w:themeColor="text1"/>
          <w:lang w:eastAsia="ro-RO"/>
        </w:rPr>
        <w:t xml:space="preserve"> with disabilities registered in the education system: 40</w:t>
      </w:r>
      <w:r w:rsidR="00882ADA" w:rsidRPr="00C54EA3">
        <w:rPr>
          <w:noProof/>
          <w:color w:val="000000" w:themeColor="text1"/>
          <w:lang w:eastAsia="ro-RO"/>
        </w:rPr>
        <w:t>,</w:t>
      </w:r>
      <w:r w:rsidR="000F2E7A" w:rsidRPr="00C54EA3">
        <w:rPr>
          <w:noProof/>
          <w:color w:val="000000" w:themeColor="text1"/>
          <w:lang w:eastAsia="ro-RO"/>
        </w:rPr>
        <w:t>08</w:t>
      </w:r>
      <w:r w:rsidR="00100A46" w:rsidRPr="00C54EA3">
        <w:rPr>
          <w:noProof/>
          <w:color w:val="000000" w:themeColor="text1"/>
          <w:lang w:eastAsia="ro-RO"/>
        </w:rPr>
        <w:t>3</w:t>
      </w:r>
    </w:p>
    <w:p w14:paraId="342DBCD9" w14:textId="77777777" w:rsidR="00102650" w:rsidRPr="00C54EA3" w:rsidRDefault="00102650" w:rsidP="00C54EA3">
      <w:pPr>
        <w:jc w:val="both"/>
        <w:rPr>
          <w:color w:val="000000" w:themeColor="text1"/>
        </w:rPr>
      </w:pPr>
    </w:p>
    <w:p w14:paraId="59B28EDF" w14:textId="77777777" w:rsidR="0010423F" w:rsidRPr="00C54EA3" w:rsidRDefault="00E63B63" w:rsidP="00C54EA3">
      <w:pPr>
        <w:jc w:val="both"/>
        <w:rPr>
          <w:color w:val="000000" w:themeColor="text1"/>
        </w:rPr>
      </w:pPr>
      <w:r w:rsidRPr="00C54EA3">
        <w:rPr>
          <w:color w:val="000000" w:themeColor="text1"/>
        </w:rPr>
        <w:t>The data provided by the National Authority for Child Protection point</w:t>
      </w:r>
      <w:r w:rsidR="00882ADA" w:rsidRPr="00C54EA3">
        <w:rPr>
          <w:color w:val="000000" w:themeColor="text1"/>
        </w:rPr>
        <w:t>s</w:t>
      </w:r>
      <w:r w:rsidRPr="00C54EA3">
        <w:rPr>
          <w:color w:val="000000" w:themeColor="text1"/>
        </w:rPr>
        <w:t xml:space="preserve"> to a different situation for the same </w:t>
      </w:r>
      <w:proofErr w:type="gramStart"/>
      <w:r w:rsidRPr="00C54EA3">
        <w:rPr>
          <w:color w:val="000000" w:themeColor="text1"/>
        </w:rPr>
        <w:t>period of time</w:t>
      </w:r>
      <w:proofErr w:type="gramEnd"/>
      <w:r w:rsidRPr="00C54EA3">
        <w:rPr>
          <w:color w:val="000000" w:themeColor="text1"/>
        </w:rPr>
        <w:t xml:space="preserve">: </w:t>
      </w:r>
    </w:p>
    <w:p w14:paraId="321FEA23" w14:textId="77777777" w:rsidR="00E63B63" w:rsidRPr="00C54EA3" w:rsidRDefault="00E63B63" w:rsidP="00C54EA3">
      <w:pPr>
        <w:jc w:val="both"/>
        <w:rPr>
          <w:color w:val="000000" w:themeColor="text1"/>
        </w:rPr>
      </w:pPr>
    </w:p>
    <w:p w14:paraId="0D66147D" w14:textId="77777777" w:rsidR="00E63B63" w:rsidRPr="00C54EA3" w:rsidRDefault="00E63B63" w:rsidP="00C54EA3">
      <w:pPr>
        <w:pStyle w:val="ListParagraph"/>
        <w:numPr>
          <w:ilvl w:val="0"/>
          <w:numId w:val="25"/>
        </w:numPr>
        <w:ind w:left="567" w:hanging="567"/>
        <w:jc w:val="both"/>
        <w:rPr>
          <w:noProof/>
          <w:color w:val="000000" w:themeColor="text1"/>
          <w:lang w:eastAsia="ro-RO"/>
        </w:rPr>
      </w:pPr>
      <w:r w:rsidRPr="00C54EA3">
        <w:rPr>
          <w:noProof/>
          <w:color w:val="000000" w:themeColor="text1"/>
          <w:lang w:eastAsia="ro-RO"/>
        </w:rPr>
        <w:t xml:space="preserve">Children with disabilities attending </w:t>
      </w:r>
      <w:r w:rsidR="00882ADA" w:rsidRPr="00C54EA3">
        <w:rPr>
          <w:noProof/>
          <w:color w:val="000000" w:themeColor="text1"/>
          <w:lang w:eastAsia="ro-RO"/>
        </w:rPr>
        <w:t>mainstream</w:t>
      </w:r>
      <w:r w:rsidRPr="00C54EA3">
        <w:rPr>
          <w:noProof/>
          <w:color w:val="000000" w:themeColor="text1"/>
          <w:lang w:eastAsia="ro-RO"/>
        </w:rPr>
        <w:t xml:space="preserve"> education: 23</w:t>
      </w:r>
      <w:r w:rsidR="00882ADA" w:rsidRPr="00C54EA3">
        <w:rPr>
          <w:noProof/>
          <w:color w:val="000000" w:themeColor="text1"/>
          <w:lang w:eastAsia="ro-RO"/>
        </w:rPr>
        <w:t>,</w:t>
      </w:r>
      <w:r w:rsidRPr="00C54EA3">
        <w:rPr>
          <w:noProof/>
          <w:color w:val="000000" w:themeColor="text1"/>
          <w:lang w:eastAsia="ro-RO"/>
        </w:rPr>
        <w:t>773 (59</w:t>
      </w:r>
      <w:r w:rsidR="00882ADA" w:rsidRPr="00C54EA3">
        <w:rPr>
          <w:noProof/>
          <w:color w:val="000000" w:themeColor="text1"/>
          <w:lang w:eastAsia="ro-RO"/>
        </w:rPr>
        <w:t>.</w:t>
      </w:r>
      <w:r w:rsidRPr="00C54EA3">
        <w:rPr>
          <w:noProof/>
          <w:color w:val="000000" w:themeColor="text1"/>
          <w:lang w:eastAsia="ro-RO"/>
        </w:rPr>
        <w:t>8%)</w:t>
      </w:r>
    </w:p>
    <w:p w14:paraId="202CB5BC" w14:textId="77777777" w:rsidR="00E63B63" w:rsidRPr="00C54EA3" w:rsidRDefault="00E63B63" w:rsidP="00C54EA3">
      <w:pPr>
        <w:pStyle w:val="ListParagraph"/>
        <w:numPr>
          <w:ilvl w:val="0"/>
          <w:numId w:val="25"/>
        </w:numPr>
        <w:ind w:left="567" w:hanging="567"/>
        <w:jc w:val="both"/>
        <w:rPr>
          <w:noProof/>
          <w:color w:val="000000" w:themeColor="text1"/>
          <w:lang w:eastAsia="ro-RO"/>
        </w:rPr>
      </w:pPr>
      <w:r w:rsidRPr="00C54EA3">
        <w:rPr>
          <w:noProof/>
          <w:color w:val="000000" w:themeColor="text1"/>
          <w:lang w:eastAsia="ro-RO"/>
        </w:rPr>
        <w:t>Children with disabilities attending special education: 14</w:t>
      </w:r>
      <w:r w:rsidR="00882ADA" w:rsidRPr="00C54EA3">
        <w:rPr>
          <w:noProof/>
          <w:color w:val="000000" w:themeColor="text1"/>
          <w:lang w:eastAsia="ro-RO"/>
        </w:rPr>
        <w:t>,</w:t>
      </w:r>
      <w:r w:rsidRPr="00C54EA3">
        <w:rPr>
          <w:noProof/>
          <w:color w:val="000000" w:themeColor="text1"/>
          <w:lang w:eastAsia="ro-RO"/>
        </w:rPr>
        <w:t>859 (37</w:t>
      </w:r>
      <w:r w:rsidR="00882ADA" w:rsidRPr="00C54EA3">
        <w:rPr>
          <w:noProof/>
          <w:color w:val="000000" w:themeColor="text1"/>
          <w:lang w:eastAsia="ro-RO"/>
        </w:rPr>
        <w:t>.</w:t>
      </w:r>
      <w:r w:rsidRPr="00C54EA3">
        <w:rPr>
          <w:noProof/>
          <w:color w:val="000000" w:themeColor="text1"/>
          <w:lang w:eastAsia="ro-RO"/>
        </w:rPr>
        <w:t>4%)</w:t>
      </w:r>
    </w:p>
    <w:p w14:paraId="6E44BB38" w14:textId="77777777" w:rsidR="00E63B63" w:rsidRPr="00C54EA3" w:rsidRDefault="00E63B63" w:rsidP="00C54EA3">
      <w:pPr>
        <w:pStyle w:val="ListParagraph"/>
        <w:numPr>
          <w:ilvl w:val="0"/>
          <w:numId w:val="25"/>
        </w:numPr>
        <w:ind w:left="567" w:hanging="567"/>
        <w:jc w:val="both"/>
        <w:rPr>
          <w:noProof/>
          <w:color w:val="000000" w:themeColor="text1"/>
          <w:lang w:eastAsia="ro-RO"/>
        </w:rPr>
      </w:pPr>
      <w:r w:rsidRPr="00C54EA3">
        <w:rPr>
          <w:noProof/>
          <w:color w:val="000000" w:themeColor="text1"/>
          <w:lang w:eastAsia="ro-RO"/>
        </w:rPr>
        <w:t>Children with disabilities registered as home-based education: 1</w:t>
      </w:r>
      <w:r w:rsidR="00882ADA" w:rsidRPr="00C54EA3">
        <w:rPr>
          <w:noProof/>
          <w:color w:val="000000" w:themeColor="text1"/>
          <w:lang w:eastAsia="ro-RO"/>
        </w:rPr>
        <w:t>,</w:t>
      </w:r>
      <w:r w:rsidRPr="00C54EA3">
        <w:rPr>
          <w:noProof/>
          <w:color w:val="000000" w:themeColor="text1"/>
          <w:lang w:eastAsia="ro-RO"/>
        </w:rPr>
        <w:t>083</w:t>
      </w:r>
    </w:p>
    <w:p w14:paraId="5DCF4FF3" w14:textId="77777777" w:rsidR="00E63B63" w:rsidRPr="00C54EA3" w:rsidRDefault="00E63B63" w:rsidP="00C54EA3">
      <w:pPr>
        <w:pStyle w:val="ListParagraph"/>
        <w:numPr>
          <w:ilvl w:val="0"/>
          <w:numId w:val="25"/>
        </w:numPr>
        <w:ind w:left="567" w:hanging="567"/>
        <w:jc w:val="both"/>
        <w:rPr>
          <w:noProof/>
          <w:color w:val="000000" w:themeColor="text1"/>
          <w:lang w:eastAsia="ro-RO"/>
        </w:rPr>
      </w:pPr>
      <w:r w:rsidRPr="00C54EA3">
        <w:rPr>
          <w:noProof/>
          <w:color w:val="000000" w:themeColor="text1"/>
          <w:lang w:eastAsia="ro-RO"/>
        </w:rPr>
        <w:t>Total no. of children with disabilities registered in the education system: 39</w:t>
      </w:r>
      <w:r w:rsidR="00882ADA" w:rsidRPr="00C54EA3">
        <w:rPr>
          <w:noProof/>
          <w:color w:val="000000" w:themeColor="text1"/>
          <w:lang w:eastAsia="ro-RO"/>
        </w:rPr>
        <w:t>,</w:t>
      </w:r>
      <w:r w:rsidRPr="00C54EA3">
        <w:rPr>
          <w:noProof/>
          <w:color w:val="000000" w:themeColor="text1"/>
          <w:lang w:eastAsia="ro-RO"/>
        </w:rPr>
        <w:t>715</w:t>
      </w:r>
    </w:p>
    <w:p w14:paraId="753AF9D0" w14:textId="77777777" w:rsidR="00FD0678" w:rsidRPr="00C54EA3" w:rsidRDefault="00FD0678" w:rsidP="00C54EA3">
      <w:pPr>
        <w:pStyle w:val="ListParagraph"/>
        <w:ind w:left="567"/>
        <w:jc w:val="both"/>
        <w:rPr>
          <w:noProof/>
          <w:color w:val="000000" w:themeColor="text1"/>
          <w:lang w:eastAsia="ro-RO"/>
        </w:rPr>
      </w:pPr>
    </w:p>
    <w:p w14:paraId="728E86E9" w14:textId="2A08C340" w:rsidR="000A2C04" w:rsidRPr="00C54EA3" w:rsidRDefault="000A2C04" w:rsidP="00C54EA3">
      <w:pPr>
        <w:jc w:val="both"/>
        <w:rPr>
          <w:color w:val="000000" w:themeColor="text1"/>
        </w:rPr>
      </w:pPr>
      <w:r w:rsidRPr="00C54EA3">
        <w:rPr>
          <w:color w:val="000000" w:themeColor="text1"/>
        </w:rPr>
        <w:t xml:space="preserve">Also, we must mention that according to the latest quarterly statistics published by the National Authority for Persons with Disabilities valid for </w:t>
      </w:r>
      <w:proofErr w:type="gramStart"/>
      <w:r w:rsidRPr="00C54EA3">
        <w:rPr>
          <w:color w:val="000000" w:themeColor="text1"/>
        </w:rPr>
        <w:t>June,</w:t>
      </w:r>
      <w:proofErr w:type="gramEnd"/>
      <w:r w:rsidRPr="00C54EA3">
        <w:rPr>
          <w:color w:val="000000" w:themeColor="text1"/>
        </w:rPr>
        <w:t xml:space="preserve"> 30, </w:t>
      </w:r>
      <w:r w:rsidR="00557A08" w:rsidRPr="00C54EA3">
        <w:rPr>
          <w:color w:val="000000" w:themeColor="text1"/>
        </w:rPr>
        <w:t>2017</w:t>
      </w:r>
      <w:r w:rsidRPr="00C54EA3">
        <w:rPr>
          <w:rStyle w:val="FootnoteReference"/>
          <w:color w:val="000000" w:themeColor="text1"/>
        </w:rPr>
        <w:footnoteReference w:id="28"/>
      </w:r>
      <w:r w:rsidRPr="00C54EA3">
        <w:rPr>
          <w:color w:val="000000" w:themeColor="text1"/>
        </w:rPr>
        <w:t xml:space="preserve"> there are officially registered a total number of </w:t>
      </w:r>
      <w:r w:rsidR="00F23F37" w:rsidRPr="00C54EA3">
        <w:rPr>
          <w:color w:val="000000" w:themeColor="text1"/>
        </w:rPr>
        <w:t>2</w:t>
      </w:r>
      <w:r w:rsidRPr="00C54EA3">
        <w:rPr>
          <w:color w:val="000000" w:themeColor="text1"/>
        </w:rPr>
        <w:t xml:space="preserve"> children with disabilities living in residential institutions</w:t>
      </w:r>
      <w:r w:rsidR="00F23F37" w:rsidRPr="00C54EA3">
        <w:rPr>
          <w:color w:val="000000" w:themeColor="text1"/>
        </w:rPr>
        <w:t>, aged 15-17 years old</w:t>
      </w:r>
      <w:r w:rsidRPr="00C54EA3">
        <w:rPr>
          <w:color w:val="000000" w:themeColor="text1"/>
        </w:rPr>
        <w:t xml:space="preserve"> (</w:t>
      </w:r>
      <w:r w:rsidR="00F23F37" w:rsidRPr="00C54EA3">
        <w:rPr>
          <w:color w:val="000000" w:themeColor="text1"/>
        </w:rPr>
        <w:t>both of them with associated disabilities</w:t>
      </w:r>
      <w:r w:rsidRPr="00C54EA3">
        <w:rPr>
          <w:color w:val="000000" w:themeColor="text1"/>
        </w:rPr>
        <w:t>).</w:t>
      </w:r>
      <w:r w:rsidR="00F23F37" w:rsidRPr="00C54EA3">
        <w:rPr>
          <w:color w:val="000000" w:themeColor="text1"/>
        </w:rPr>
        <w:t xml:space="preserve"> Compared to the previous year, we can assume</w:t>
      </w:r>
      <w:r w:rsidRPr="00C54EA3">
        <w:rPr>
          <w:color w:val="000000" w:themeColor="text1"/>
        </w:rPr>
        <w:t xml:space="preserve"> </w:t>
      </w:r>
      <w:r w:rsidR="00F23F37" w:rsidRPr="00C54EA3">
        <w:rPr>
          <w:color w:val="000000" w:themeColor="text1"/>
        </w:rPr>
        <w:t xml:space="preserve">that the number of institutionalized children dropped as they became adults (were 18 years old </w:t>
      </w:r>
      <w:proofErr w:type="gramStart"/>
      <w:r w:rsidR="00F23F37" w:rsidRPr="00C54EA3">
        <w:rPr>
          <w:color w:val="000000" w:themeColor="text1"/>
        </w:rPr>
        <w:t>at the moment</w:t>
      </w:r>
      <w:proofErr w:type="gramEnd"/>
      <w:r w:rsidR="00F23F37" w:rsidRPr="00C54EA3">
        <w:rPr>
          <w:color w:val="000000" w:themeColor="text1"/>
        </w:rPr>
        <w:t xml:space="preserve"> </w:t>
      </w:r>
      <w:r w:rsidR="00DC0D9C" w:rsidRPr="00C54EA3">
        <w:rPr>
          <w:color w:val="000000" w:themeColor="text1"/>
        </w:rPr>
        <w:t xml:space="preserve">of the latest quarterly). </w:t>
      </w:r>
      <w:r w:rsidRPr="00C54EA3">
        <w:rPr>
          <w:color w:val="000000" w:themeColor="text1"/>
        </w:rPr>
        <w:t xml:space="preserve">We may assume that none of these children is registered under any form of education and </w:t>
      </w:r>
      <w:proofErr w:type="gramStart"/>
      <w:r w:rsidRPr="00C54EA3">
        <w:rPr>
          <w:color w:val="000000" w:themeColor="text1"/>
        </w:rPr>
        <w:t>also</w:t>
      </w:r>
      <w:proofErr w:type="gramEnd"/>
      <w:r w:rsidRPr="00C54EA3">
        <w:rPr>
          <w:color w:val="000000" w:themeColor="text1"/>
        </w:rPr>
        <w:t xml:space="preserve"> we estimate that the total number of institutionalized children is underreported by General Directorates of Social Assistance and Childcare</w:t>
      </w:r>
      <w:r w:rsidR="000F6D41" w:rsidRPr="00C54EA3">
        <w:rPr>
          <w:color w:val="000000" w:themeColor="text1"/>
        </w:rPr>
        <w:t xml:space="preserve"> (as for March 2017, The National Authority for Child Protection and Adoption reported 19.236 child in residential institutions, 15.335 in public institutions and 3.901 in private institutions</w:t>
      </w:r>
      <w:r w:rsidR="00C54EA3" w:rsidRPr="00C54EA3">
        <w:rPr>
          <w:color w:val="000000" w:themeColor="text1"/>
        </w:rPr>
        <w:t>).</w:t>
      </w:r>
      <w:r w:rsidR="00D507F8" w:rsidRPr="00C54EA3">
        <w:rPr>
          <w:rStyle w:val="FootnoteReference"/>
          <w:color w:val="000000" w:themeColor="text1"/>
        </w:rPr>
        <w:footnoteReference w:id="29"/>
      </w:r>
      <w:r w:rsidRPr="00C54EA3">
        <w:rPr>
          <w:color w:val="000000" w:themeColor="text1"/>
        </w:rPr>
        <w:t xml:space="preserve"> </w:t>
      </w:r>
    </w:p>
    <w:p w14:paraId="60DA9DA4" w14:textId="77777777" w:rsidR="000A2C04" w:rsidRPr="00C54EA3" w:rsidRDefault="000A2C04" w:rsidP="00C54EA3">
      <w:pPr>
        <w:jc w:val="both"/>
        <w:rPr>
          <w:noProof/>
          <w:color w:val="000000" w:themeColor="text1"/>
          <w:lang w:eastAsia="ro-RO"/>
        </w:rPr>
      </w:pPr>
    </w:p>
    <w:p w14:paraId="3DDE864D" w14:textId="77777777" w:rsidR="00100A46" w:rsidRPr="00C54EA3" w:rsidRDefault="00100A46" w:rsidP="00C54EA3">
      <w:pPr>
        <w:jc w:val="both"/>
        <w:rPr>
          <w:noProof/>
          <w:color w:val="000000" w:themeColor="text1"/>
          <w:lang w:eastAsia="ro-RO"/>
        </w:rPr>
      </w:pPr>
      <w:r w:rsidRPr="00C54EA3">
        <w:rPr>
          <w:noProof/>
          <w:color w:val="000000" w:themeColor="text1"/>
          <w:lang w:eastAsia="ro-RO"/>
        </w:rPr>
        <w:t>According to the Ministry of Education, there are 27,350</w:t>
      </w:r>
      <w:r w:rsidRPr="00C54EA3">
        <w:rPr>
          <w:rStyle w:val="FootnoteReference"/>
          <w:noProof/>
          <w:color w:val="000000" w:themeColor="text1"/>
          <w:lang w:eastAsia="ro-RO"/>
        </w:rPr>
        <w:footnoteReference w:id="30"/>
      </w:r>
      <w:r w:rsidRPr="00C54EA3">
        <w:rPr>
          <w:noProof/>
          <w:color w:val="000000" w:themeColor="text1"/>
          <w:lang w:eastAsia="ro-RO"/>
        </w:rPr>
        <w:t xml:space="preserve"> children with disability attentind special education, for whom the Ministry allocated, in June 2016, 68 milion lei (little over 15 milion euros) as to integrate them in the mainstream education.</w:t>
      </w:r>
      <w:r w:rsidR="00346968" w:rsidRPr="00C54EA3">
        <w:rPr>
          <w:noProof/>
          <w:color w:val="000000" w:themeColor="text1"/>
          <w:lang w:eastAsia="ro-RO"/>
        </w:rPr>
        <w:t xml:space="preserve"> Also, at the end of 2016, The Ministry of Education proposed an education policy to ensure equity in education in terms of equal access to all forms of education and quality of education for all children without discrimination based</w:t>
      </w:r>
      <w:r w:rsidR="00532ECD" w:rsidRPr="00C54EA3">
        <w:rPr>
          <w:noProof/>
          <w:color w:val="000000" w:themeColor="text1"/>
          <w:lang w:eastAsia="ro-RO"/>
        </w:rPr>
        <w:t>, among other,</w:t>
      </w:r>
      <w:r w:rsidR="00346968" w:rsidRPr="00C54EA3">
        <w:rPr>
          <w:noProof/>
          <w:color w:val="000000" w:themeColor="text1"/>
          <w:lang w:eastAsia="ro-RO"/>
        </w:rPr>
        <w:t xml:space="preserve"> on </w:t>
      </w:r>
      <w:r w:rsidR="00532ECD" w:rsidRPr="00C54EA3">
        <w:rPr>
          <w:noProof/>
          <w:color w:val="000000" w:themeColor="text1"/>
          <w:lang w:eastAsia="ro-RO"/>
        </w:rPr>
        <w:t>disability and/</w:t>
      </w:r>
      <w:r w:rsidR="00346968" w:rsidRPr="00C54EA3">
        <w:rPr>
          <w:noProof/>
          <w:color w:val="000000" w:themeColor="text1"/>
          <w:lang w:eastAsia="ro-RO"/>
        </w:rPr>
        <w:t>or special educational requirements</w:t>
      </w:r>
      <w:r w:rsidR="00532ECD" w:rsidRPr="00C54EA3">
        <w:rPr>
          <w:noProof/>
          <w:color w:val="000000" w:themeColor="text1"/>
          <w:lang w:eastAsia="ro-RO"/>
        </w:rPr>
        <w:t>.</w:t>
      </w:r>
    </w:p>
    <w:p w14:paraId="1CD31D21" w14:textId="77777777" w:rsidR="00100A46" w:rsidRPr="00C54EA3" w:rsidRDefault="00100A46" w:rsidP="00C54EA3">
      <w:pPr>
        <w:jc w:val="both"/>
        <w:rPr>
          <w:noProof/>
          <w:color w:val="000000" w:themeColor="text1"/>
          <w:lang w:eastAsia="ro-RO"/>
        </w:rPr>
      </w:pPr>
    </w:p>
    <w:p w14:paraId="6A1136B4" w14:textId="4A178615" w:rsidR="00100A46" w:rsidRDefault="00100A46" w:rsidP="00C54EA3">
      <w:pPr>
        <w:jc w:val="both"/>
        <w:rPr>
          <w:noProof/>
          <w:color w:val="000000" w:themeColor="text1"/>
          <w:lang w:eastAsia="ro-RO"/>
        </w:rPr>
      </w:pPr>
      <w:r w:rsidRPr="00C54EA3">
        <w:rPr>
          <w:noProof/>
          <w:color w:val="000000" w:themeColor="text1"/>
          <w:lang w:eastAsia="ro-RO"/>
        </w:rPr>
        <w:t>Total no. of children with disabilities in Romania is 61,</w:t>
      </w:r>
      <w:r w:rsidR="00D507F8" w:rsidRPr="00C54EA3">
        <w:rPr>
          <w:noProof/>
          <w:color w:val="000000" w:themeColor="text1"/>
          <w:lang w:eastAsia="ro-RO"/>
        </w:rPr>
        <w:t>889</w:t>
      </w:r>
      <w:r w:rsidR="00FD0678" w:rsidRPr="00C54EA3">
        <w:rPr>
          <w:noProof/>
          <w:color w:val="000000" w:themeColor="text1"/>
          <w:lang w:eastAsia="ro-RO"/>
        </w:rPr>
        <w:t>,</w:t>
      </w:r>
      <w:r w:rsidRPr="00C54EA3">
        <w:rPr>
          <w:rStyle w:val="FootnoteReference"/>
          <w:noProof/>
          <w:color w:val="000000" w:themeColor="text1"/>
          <w:lang w:eastAsia="ro-RO"/>
        </w:rPr>
        <w:footnoteReference w:id="31"/>
      </w:r>
      <w:r w:rsidRPr="00C54EA3">
        <w:rPr>
          <w:noProof/>
          <w:color w:val="000000" w:themeColor="text1"/>
          <w:lang w:eastAsia="ro-RO"/>
        </w:rPr>
        <w:t xml:space="preserve"> according to Ministry of Labour</w:t>
      </w:r>
      <w:r w:rsidR="00D507F8" w:rsidRPr="00C54EA3">
        <w:rPr>
          <w:noProof/>
          <w:color w:val="000000" w:themeColor="text1"/>
          <w:lang w:eastAsia="ro-RO"/>
        </w:rPr>
        <w:t xml:space="preserve"> and Social Justice.</w:t>
      </w:r>
      <w:r w:rsidRPr="00C54EA3">
        <w:rPr>
          <w:noProof/>
          <w:color w:val="000000" w:themeColor="text1"/>
          <w:lang w:eastAsia="ro-RO"/>
        </w:rPr>
        <w:t>.</w:t>
      </w:r>
    </w:p>
    <w:p w14:paraId="037FA6BA" w14:textId="77777777" w:rsidR="00C54EA3" w:rsidRPr="00C54EA3" w:rsidRDefault="00C54EA3" w:rsidP="00C54EA3">
      <w:pPr>
        <w:jc w:val="both"/>
        <w:rPr>
          <w:noProof/>
          <w:color w:val="000000" w:themeColor="text1"/>
          <w:lang w:eastAsia="ro-RO"/>
        </w:rPr>
      </w:pPr>
    </w:p>
    <w:p w14:paraId="2CAA6348" w14:textId="77777777" w:rsidR="00E63B63" w:rsidRPr="00C54EA3" w:rsidRDefault="00E63B63" w:rsidP="00C54EA3">
      <w:pPr>
        <w:jc w:val="both"/>
      </w:pPr>
      <w:r w:rsidRPr="00C54EA3">
        <w:t xml:space="preserve">Basically, the education system and the social protection system report </w:t>
      </w:r>
      <w:r w:rsidR="00AE4DCC" w:rsidRPr="00C54EA3">
        <w:t>contradictory results</w:t>
      </w:r>
      <w:r w:rsidRPr="00C54EA3">
        <w:t xml:space="preserve"> for the situation of children registered in </w:t>
      </w:r>
      <w:r w:rsidR="00882ADA" w:rsidRPr="00C54EA3">
        <w:t>mainstream</w:t>
      </w:r>
      <w:r w:rsidRPr="00C54EA3">
        <w:t xml:space="preserve"> as compared to special education. </w:t>
      </w:r>
    </w:p>
    <w:p w14:paraId="1FAF923B" w14:textId="77777777" w:rsidR="00D507F8" w:rsidRPr="00C54EA3" w:rsidRDefault="00D507F8" w:rsidP="00C54EA3">
      <w:pPr>
        <w:jc w:val="both"/>
        <w:rPr>
          <w:color w:val="000000" w:themeColor="text1"/>
        </w:rPr>
      </w:pPr>
    </w:p>
    <w:p w14:paraId="2D89A971" w14:textId="77777777" w:rsidR="00FC5B43" w:rsidRPr="00C54EA3" w:rsidRDefault="00E63B63" w:rsidP="00C54EA3">
      <w:pPr>
        <w:jc w:val="both"/>
        <w:rPr>
          <w:color w:val="000000" w:themeColor="text1"/>
        </w:rPr>
      </w:pPr>
      <w:r w:rsidRPr="00C54EA3">
        <w:rPr>
          <w:color w:val="000000" w:themeColor="text1"/>
        </w:rPr>
        <w:lastRenderedPageBreak/>
        <w:t>Also, there is a lack of official (assumed) data with regards to the situation of children with disabilities who are not regist</w:t>
      </w:r>
      <w:r w:rsidR="00FD0678" w:rsidRPr="00C54EA3">
        <w:rPr>
          <w:color w:val="000000" w:themeColor="text1"/>
        </w:rPr>
        <w:t xml:space="preserve">ered in any form of education. </w:t>
      </w:r>
      <w:r w:rsidR="00FC5B43" w:rsidRPr="00C54EA3">
        <w:rPr>
          <w:color w:val="000000" w:themeColor="text1"/>
        </w:rPr>
        <w:t xml:space="preserve">A recent report launched by the European </w:t>
      </w:r>
      <w:r w:rsidR="009E4D14" w:rsidRPr="00C54EA3">
        <w:rPr>
          <w:color w:val="000000" w:themeColor="text1"/>
        </w:rPr>
        <w:t>Centre</w:t>
      </w:r>
      <w:r w:rsidR="00FC5B43" w:rsidRPr="00C54EA3">
        <w:rPr>
          <w:color w:val="000000" w:themeColor="text1"/>
        </w:rPr>
        <w:t xml:space="preserve"> for the Rights of Children with Disabilities</w:t>
      </w:r>
      <w:r w:rsidR="00FC5B43" w:rsidRPr="00C54EA3">
        <w:rPr>
          <w:rStyle w:val="FootnoteReference"/>
          <w:color w:val="000000" w:themeColor="text1"/>
        </w:rPr>
        <w:footnoteReference w:id="32"/>
      </w:r>
      <w:r w:rsidR="00FC5B43" w:rsidRPr="00C54EA3">
        <w:rPr>
          <w:color w:val="000000" w:themeColor="text1"/>
        </w:rPr>
        <w:t xml:space="preserve"> points to a total number of over 17</w:t>
      </w:r>
      <w:r w:rsidR="00566883" w:rsidRPr="00C54EA3">
        <w:rPr>
          <w:color w:val="000000" w:themeColor="text1"/>
        </w:rPr>
        <w:t>,</w:t>
      </w:r>
      <w:r w:rsidR="00FC5B43" w:rsidRPr="00C54EA3">
        <w:rPr>
          <w:color w:val="000000" w:themeColor="text1"/>
        </w:rPr>
        <w:t>000 children with disabilities (24</w:t>
      </w:r>
      <w:r w:rsidR="00FD0678" w:rsidRPr="00C54EA3">
        <w:rPr>
          <w:color w:val="000000" w:themeColor="text1"/>
        </w:rPr>
        <w:t xml:space="preserve"> </w:t>
      </w:r>
      <w:r w:rsidR="00FC5B43" w:rsidRPr="00C54EA3">
        <w:rPr>
          <w:color w:val="000000" w:themeColor="text1"/>
        </w:rPr>
        <w:t xml:space="preserve">%) not attending any form of education. </w:t>
      </w:r>
    </w:p>
    <w:p w14:paraId="15361CE2" w14:textId="77777777" w:rsidR="00FC5B43" w:rsidRPr="00C54EA3" w:rsidRDefault="00FC5B43" w:rsidP="00C54EA3">
      <w:pPr>
        <w:jc w:val="both"/>
      </w:pPr>
    </w:p>
    <w:p w14:paraId="57FED2DB" w14:textId="77777777" w:rsidR="00FC5B43" w:rsidRPr="00C54EA3" w:rsidRDefault="00FC5B43" w:rsidP="00C54EA3">
      <w:pPr>
        <w:pStyle w:val="Heading2"/>
        <w:jc w:val="both"/>
        <w:rPr>
          <w:szCs w:val="24"/>
        </w:rPr>
      </w:pPr>
      <w:bookmarkStart w:id="17" w:name="_Toc508203261"/>
      <w:r w:rsidRPr="00C54EA3">
        <w:rPr>
          <w:szCs w:val="24"/>
        </w:rPr>
        <w:t>Poverty and social inclusion</w:t>
      </w:r>
      <w:bookmarkEnd w:id="17"/>
    </w:p>
    <w:p w14:paraId="46C7F4D8" w14:textId="77777777" w:rsidR="00A11A79" w:rsidRPr="00C54EA3" w:rsidRDefault="00A11A79" w:rsidP="00C54EA3">
      <w:pPr>
        <w:jc w:val="both"/>
      </w:pPr>
    </w:p>
    <w:p w14:paraId="65EC03B5" w14:textId="69499437" w:rsidR="00A133EB" w:rsidRPr="00C54EA3" w:rsidRDefault="00454905" w:rsidP="00C54EA3">
      <w:pPr>
        <w:jc w:val="both"/>
      </w:pPr>
      <w:r w:rsidRPr="00C54EA3">
        <w:t>The 2017 Alert Mechanism highlighted how</w:t>
      </w:r>
      <w:r w:rsidR="005A0669" w:rsidRPr="00C54EA3">
        <w:t xml:space="preserve"> general</w:t>
      </w:r>
      <w:r w:rsidRPr="00C54EA3">
        <w:t xml:space="preserve"> income inequality has increased markedly in Romania during the period of the crisis</w:t>
      </w:r>
      <w:r w:rsidR="005A0669" w:rsidRPr="00C54EA3">
        <w:t xml:space="preserve"> and the particularly high risk of poverty or social exclusion (AROPE) for disabled people was highlighted in the 2017 Joint Employment Report</w:t>
      </w:r>
      <w:r w:rsidRPr="00C54EA3">
        <w:t>.</w:t>
      </w:r>
      <w:r w:rsidR="0089403A" w:rsidRPr="00C54EA3">
        <w:t xml:space="preserve"> </w:t>
      </w:r>
      <w:r w:rsidR="00CE0088" w:rsidRPr="00C54EA3">
        <w:t>This is true also for the in-work poverty rate among disabled people.</w:t>
      </w:r>
      <w:r w:rsidR="00CE0088" w:rsidRPr="00C54EA3">
        <w:rPr>
          <w:rStyle w:val="FootnoteReference"/>
        </w:rPr>
        <w:footnoteReference w:id="33"/>
      </w:r>
    </w:p>
    <w:p w14:paraId="044F69AC" w14:textId="77777777" w:rsidR="00853F94" w:rsidRPr="00C54EA3" w:rsidRDefault="00853F94" w:rsidP="00C54EA3">
      <w:pPr>
        <w:jc w:val="both"/>
      </w:pPr>
    </w:p>
    <w:p w14:paraId="6BE78913" w14:textId="77777777" w:rsidR="00A96100" w:rsidRPr="00C54EA3" w:rsidRDefault="00D6287B" w:rsidP="00C54EA3">
      <w:pPr>
        <w:jc w:val="both"/>
      </w:pPr>
      <w:r w:rsidRPr="00C54EA3">
        <w:t>The m</w:t>
      </w:r>
      <w:r w:rsidR="00CC343C" w:rsidRPr="00C54EA3">
        <w:t>ain related measures for combating poverty and improving social inclusion of people with disabilities targeted:</w:t>
      </w:r>
    </w:p>
    <w:p w14:paraId="2C828D52" w14:textId="77777777" w:rsidR="00A133EB" w:rsidRPr="00C54EA3" w:rsidRDefault="00A133EB" w:rsidP="00C54EA3">
      <w:pPr>
        <w:jc w:val="both"/>
      </w:pPr>
    </w:p>
    <w:p w14:paraId="27746087" w14:textId="77777777" w:rsidR="00CC343C" w:rsidRPr="00C54EA3" w:rsidRDefault="00CC343C" w:rsidP="00C54EA3">
      <w:pPr>
        <w:pStyle w:val="ListParagraph"/>
        <w:numPr>
          <w:ilvl w:val="0"/>
          <w:numId w:val="25"/>
        </w:numPr>
        <w:tabs>
          <w:tab w:val="left" w:pos="567"/>
        </w:tabs>
        <w:ind w:left="567" w:hanging="567"/>
        <w:jc w:val="both"/>
      </w:pPr>
      <w:r w:rsidRPr="00C54EA3">
        <w:t>Introduction of a monthly allocation for children in family foster care</w:t>
      </w:r>
    </w:p>
    <w:p w14:paraId="36A7D770" w14:textId="77777777" w:rsidR="00CC343C" w:rsidRPr="00C54EA3" w:rsidRDefault="00CC343C" w:rsidP="00C54EA3">
      <w:pPr>
        <w:pStyle w:val="ListParagraph"/>
        <w:numPr>
          <w:ilvl w:val="0"/>
          <w:numId w:val="25"/>
        </w:numPr>
        <w:tabs>
          <w:tab w:val="left" w:pos="567"/>
        </w:tabs>
        <w:ind w:left="567" w:hanging="567"/>
        <w:jc w:val="both"/>
      </w:pPr>
      <w:r w:rsidRPr="00C54EA3">
        <w:t xml:space="preserve">Introduction of an allowance equalling the minimum gross income for post-institutionalized children leaving the care system </w:t>
      </w:r>
    </w:p>
    <w:p w14:paraId="6000A699" w14:textId="77777777" w:rsidR="00CC343C" w:rsidRPr="00C54EA3" w:rsidRDefault="00CC343C" w:rsidP="00C54EA3">
      <w:pPr>
        <w:pStyle w:val="ListParagraph"/>
        <w:numPr>
          <w:ilvl w:val="0"/>
          <w:numId w:val="25"/>
        </w:numPr>
        <w:tabs>
          <w:tab w:val="left" w:pos="567"/>
        </w:tabs>
        <w:ind w:left="567" w:hanging="567"/>
        <w:jc w:val="both"/>
      </w:pPr>
      <w:r w:rsidRPr="00C54EA3">
        <w:t xml:space="preserve">Increase of the daily food allowance of children in special protection </w:t>
      </w:r>
    </w:p>
    <w:p w14:paraId="14041D4B" w14:textId="77777777" w:rsidR="00CC343C" w:rsidRPr="00C54EA3" w:rsidRDefault="00CC343C" w:rsidP="00C54EA3">
      <w:pPr>
        <w:jc w:val="both"/>
      </w:pPr>
    </w:p>
    <w:p w14:paraId="7CE47453" w14:textId="524361EC" w:rsidR="00277D4A" w:rsidRPr="00C54EA3" w:rsidRDefault="009446F6" w:rsidP="00C54EA3">
      <w:pPr>
        <w:jc w:val="both"/>
        <w:rPr>
          <w:color w:val="212121"/>
          <w:shd w:val="clear" w:color="auto" w:fill="FFFFFF"/>
        </w:rPr>
      </w:pPr>
      <w:r w:rsidRPr="00C54EA3">
        <w:t xml:space="preserve">Beyond this, is it important to emphasize that, according </w:t>
      </w:r>
      <w:r w:rsidRPr="00C54EA3">
        <w:rPr>
          <w:color w:val="000000" w:themeColor="text1"/>
        </w:rPr>
        <w:t>to 2016 CSR</w:t>
      </w:r>
      <w:r w:rsidRPr="00C54EA3">
        <w:rPr>
          <w:color w:val="FF0000"/>
        </w:rPr>
        <w:t xml:space="preserve">, </w:t>
      </w:r>
      <w:r w:rsidRPr="00C54EA3">
        <w:t>deinstitutionalisation of people with disability remains a challenge, as Romania fails to meet its objectives</w:t>
      </w:r>
      <w:r w:rsidR="00BD17EA" w:rsidRPr="00C54EA3">
        <w:t>, although in 2017 CSR there is no mention on this issue</w:t>
      </w:r>
      <w:r w:rsidRPr="00C54EA3">
        <w:t xml:space="preserve">. </w:t>
      </w:r>
      <w:r w:rsidR="00277D4A" w:rsidRPr="00C54EA3">
        <w:t>Two important documents on this matter - the National Interest Program on protection and promotion of rights of persons with disabilities and the National Strategy for people with disabilities have been postponed from adoption for months/years. T</w:t>
      </w:r>
      <w:r w:rsidRPr="00C54EA3">
        <w:t>he National Interest Program has been submitted to public consultation at the end of January 2016, but adopted</w:t>
      </w:r>
      <w:r w:rsidR="00277D4A" w:rsidRPr="00C54EA3">
        <w:t xml:space="preserve"> 10 months later, in October 2016</w:t>
      </w:r>
      <w:r w:rsidRPr="00C54EA3">
        <w:t>.</w:t>
      </w:r>
      <w:r w:rsidR="000A4CB4" w:rsidRPr="00C54EA3">
        <w:t xml:space="preserve"> The NIP aims the deinstitutionalisation of 1300 people wit</w:t>
      </w:r>
      <w:r w:rsidR="00C57612" w:rsidRPr="00C54EA3">
        <w:t xml:space="preserve">h disability, out of which 784 by national funding. Also, the NIP sigh for </w:t>
      </w:r>
      <w:r w:rsidR="00982EA4" w:rsidRPr="00C54EA3">
        <w:t xml:space="preserve">75 </w:t>
      </w:r>
      <w:r w:rsidR="00C57612" w:rsidRPr="00C54EA3">
        <w:t>new protected dwellings</w:t>
      </w:r>
      <w:r w:rsidR="00982EA4" w:rsidRPr="00C54EA3">
        <w:t>,</w:t>
      </w:r>
      <w:r w:rsidR="00C54EA3">
        <w:t xml:space="preserve"> </w:t>
      </w:r>
      <w:proofErr w:type="gramStart"/>
      <w:r w:rsidR="00982EA4" w:rsidRPr="00C54EA3">
        <w:t>76</w:t>
      </w:r>
      <w:r w:rsidR="00BD17EA" w:rsidRPr="00C54EA3">
        <w:t xml:space="preserve"> </w:t>
      </w:r>
      <w:r w:rsidR="00C57612" w:rsidRPr="00C54EA3">
        <w:t>day</w:t>
      </w:r>
      <w:proofErr w:type="gramEnd"/>
      <w:r w:rsidR="00C57612" w:rsidRPr="00C54EA3">
        <w:t xml:space="preserve"> care centres </w:t>
      </w:r>
      <w:r w:rsidR="00982EA4" w:rsidRPr="00C54EA3">
        <w:t xml:space="preserve">and 8 new respire/crisis centres </w:t>
      </w:r>
      <w:r w:rsidR="00C57612" w:rsidRPr="00C54EA3">
        <w:t xml:space="preserve">until 2018. </w:t>
      </w:r>
      <w:r w:rsidR="00277D4A" w:rsidRPr="00C54EA3">
        <w:t>The other legislative document - The</w:t>
      </w:r>
      <w:r w:rsidR="00C538CD" w:rsidRPr="00C54EA3">
        <w:t xml:space="preserve"> National Strategy for people with disabilities</w:t>
      </w:r>
      <w:r w:rsidR="00277D4A" w:rsidRPr="00C54EA3">
        <w:t>,</w:t>
      </w:r>
      <w:r w:rsidR="00FD0678" w:rsidRPr="00C54EA3">
        <w:t xml:space="preserve"> </w:t>
      </w:r>
      <w:r w:rsidR="00FE62ED" w:rsidRPr="00C54EA3">
        <w:t>that covers also the deinstitutionalisation subject, viewed as a priority for Romania</w:t>
      </w:r>
      <w:r w:rsidR="00277D4A" w:rsidRPr="00C54EA3">
        <w:t>,</w:t>
      </w:r>
      <w:r w:rsidR="00FD0678" w:rsidRPr="00C54EA3">
        <w:t xml:space="preserve"> </w:t>
      </w:r>
      <w:r w:rsidR="002B529E" w:rsidRPr="00C54EA3">
        <w:t>was finally ad</w:t>
      </w:r>
      <w:r w:rsidR="00277D4A" w:rsidRPr="00C54EA3">
        <w:t xml:space="preserve">opted in September 2016, after almost 3 years of postponement. The Strategy </w:t>
      </w:r>
      <w:r w:rsidR="00FE62ED" w:rsidRPr="00C54EA3">
        <w:t xml:space="preserve">states that </w:t>
      </w:r>
      <w:r w:rsidR="00FE62ED" w:rsidRPr="00C54EA3">
        <w:rPr>
          <w:color w:val="212121"/>
          <w:shd w:val="clear" w:color="auto" w:fill="FFFFFF"/>
        </w:rPr>
        <w:t xml:space="preserve">Romania is committed to ensure the transition from residential care based system </w:t>
      </w:r>
      <w:r w:rsidR="00FE62ED" w:rsidRPr="00C54EA3">
        <w:t xml:space="preserve">to </w:t>
      </w:r>
      <w:r w:rsidR="00FE62ED" w:rsidRPr="00C54EA3">
        <w:rPr>
          <w:color w:val="212121"/>
          <w:shd w:val="clear" w:color="auto" w:fill="FFFFFF"/>
        </w:rPr>
        <w:t>one based on alternative community service, currently underdeveloped.</w:t>
      </w:r>
      <w:r w:rsidR="00B17C46" w:rsidRPr="00C54EA3">
        <w:rPr>
          <w:color w:val="212121"/>
          <w:shd w:val="clear" w:color="auto" w:fill="FFFFFF"/>
        </w:rPr>
        <w:t xml:space="preserve"> </w:t>
      </w:r>
    </w:p>
    <w:p w14:paraId="634F8930" w14:textId="77777777" w:rsidR="00BD17EA" w:rsidRPr="00C54EA3" w:rsidRDefault="00BD17EA" w:rsidP="00C54EA3">
      <w:pPr>
        <w:jc w:val="both"/>
        <w:rPr>
          <w:color w:val="212121"/>
          <w:shd w:val="clear" w:color="auto" w:fill="FFFFFF"/>
        </w:rPr>
      </w:pPr>
    </w:p>
    <w:p w14:paraId="7D4EEC25" w14:textId="77777777" w:rsidR="00B17C46" w:rsidRPr="00C54EA3" w:rsidRDefault="00B17C46" w:rsidP="00C54EA3">
      <w:pPr>
        <w:jc w:val="both"/>
      </w:pPr>
      <w:r w:rsidRPr="00C54EA3">
        <w:rPr>
          <w:color w:val="212121"/>
          <w:shd w:val="clear" w:color="auto" w:fill="FFFFFF"/>
        </w:rPr>
        <w:t xml:space="preserve">Last, but not least, even if the philosophy of new structural funds (ESF and ERDF) is focused on the deinstitutionalisation, no project has been funded by now. </w:t>
      </w:r>
    </w:p>
    <w:p w14:paraId="6EC55F18" w14:textId="51575187" w:rsidR="00CC343C" w:rsidRPr="00C54EA3" w:rsidRDefault="00CC343C" w:rsidP="00C54EA3">
      <w:pPr>
        <w:jc w:val="both"/>
      </w:pPr>
      <w:r w:rsidRPr="00C54EA3">
        <w:lastRenderedPageBreak/>
        <w:t xml:space="preserve">Several projects targeting the active social inclusion of vulnerable groups (including people with disabilities) were implemented by the Ministry of </w:t>
      </w:r>
      <w:r w:rsidR="009E4D14" w:rsidRPr="00C54EA3">
        <w:t>Labour</w:t>
      </w:r>
      <w:r w:rsidRPr="00C54EA3">
        <w:t xml:space="preserve"> </w:t>
      </w:r>
      <w:r w:rsidR="0003279B" w:rsidRPr="00C54EA3">
        <w:t xml:space="preserve">and Social Justice </w:t>
      </w:r>
      <w:r w:rsidR="004E079D" w:rsidRPr="00C54EA3">
        <w:t>– including training courses and counselling services.</w:t>
      </w:r>
    </w:p>
    <w:p w14:paraId="24DE1029" w14:textId="77777777" w:rsidR="00A133EB" w:rsidRPr="00C54EA3" w:rsidRDefault="00A133EB" w:rsidP="00C54EA3">
      <w:pPr>
        <w:jc w:val="both"/>
      </w:pPr>
    </w:p>
    <w:p w14:paraId="761EB2DB" w14:textId="77777777" w:rsidR="00A96100" w:rsidRPr="00C54EA3" w:rsidRDefault="005357C3" w:rsidP="00C54EA3">
      <w:pPr>
        <w:pStyle w:val="Un-numberedsubheading"/>
        <w:spacing w:after="0"/>
        <w:jc w:val="both"/>
        <w:rPr>
          <w:b w:val="0"/>
          <w:bCs/>
        </w:rPr>
      </w:pPr>
      <w:r w:rsidRPr="00C54EA3">
        <w:rPr>
          <w:b w:val="0"/>
          <w:bCs/>
        </w:rPr>
        <w:t xml:space="preserve">The National </w:t>
      </w:r>
      <w:r w:rsidR="009960BA" w:rsidRPr="00C54EA3">
        <w:rPr>
          <w:b w:val="0"/>
          <w:bCs/>
        </w:rPr>
        <w:t xml:space="preserve">Strategy </w:t>
      </w:r>
      <w:r w:rsidRPr="00C54EA3">
        <w:rPr>
          <w:b w:val="0"/>
          <w:bCs/>
        </w:rPr>
        <w:t>on Social Inclusion and Poverty 2015 - 2020</w:t>
      </w:r>
      <w:r w:rsidRPr="00C54EA3">
        <w:rPr>
          <w:rStyle w:val="FootnoteReference"/>
          <w:b w:val="0"/>
          <w:bCs/>
        </w:rPr>
        <w:footnoteReference w:id="34"/>
      </w:r>
      <w:r w:rsidRPr="00C54EA3">
        <w:rPr>
          <w:b w:val="0"/>
          <w:bCs/>
        </w:rPr>
        <w:t xml:space="preserve"> includes people with disabilities among the most vulnerable categories – pointing to 687.000 children and adults with disabilities living in households and 16.800 in residential care system, as well as 62</w:t>
      </w:r>
      <w:r w:rsidR="00B545C9" w:rsidRPr="00C54EA3">
        <w:rPr>
          <w:b w:val="0"/>
          <w:bCs/>
        </w:rPr>
        <w:t>,</w:t>
      </w:r>
      <w:r w:rsidRPr="00C54EA3">
        <w:rPr>
          <w:b w:val="0"/>
          <w:bCs/>
        </w:rPr>
        <w:t xml:space="preserve">000 children in the special protection system. The same strategy refers to the low employment rate of </w:t>
      </w:r>
      <w:proofErr w:type="spellStart"/>
      <w:r w:rsidRPr="00C54EA3">
        <w:rPr>
          <w:b w:val="0"/>
          <w:bCs/>
        </w:rPr>
        <w:t>PwD</w:t>
      </w:r>
      <w:proofErr w:type="spellEnd"/>
      <w:r w:rsidRPr="00C54EA3">
        <w:rPr>
          <w:b w:val="0"/>
          <w:bCs/>
        </w:rPr>
        <w:t xml:space="preserve"> (7.25</w:t>
      </w:r>
      <w:r w:rsidR="00FD0678" w:rsidRPr="00C54EA3">
        <w:rPr>
          <w:b w:val="0"/>
          <w:bCs/>
        </w:rPr>
        <w:t xml:space="preserve"> </w:t>
      </w:r>
      <w:r w:rsidRPr="00C54EA3">
        <w:rPr>
          <w:b w:val="0"/>
          <w:bCs/>
        </w:rPr>
        <w:t>% aged 18 to 64). The situation in which a member of the family of a person with disabilities (usually the mother) quits job and becomes the personal assistant of the child or adult with disability is very frequent. Most of the people with disabilities living in families are confronted with severe economic and social deprivations. A study carried out in 2010</w:t>
      </w:r>
      <w:r w:rsidRPr="00C54EA3">
        <w:rPr>
          <w:rStyle w:val="FootnoteReference"/>
          <w:b w:val="0"/>
          <w:bCs/>
        </w:rPr>
        <w:footnoteReference w:id="35"/>
      </w:r>
      <w:r w:rsidRPr="00C54EA3">
        <w:rPr>
          <w:b w:val="0"/>
          <w:bCs/>
        </w:rPr>
        <w:t xml:space="preserve"> on quality of life of children and your people with disabilities pointed out that 89</w:t>
      </w:r>
      <w:r w:rsidR="00FD0678" w:rsidRPr="00C54EA3">
        <w:rPr>
          <w:b w:val="0"/>
          <w:bCs/>
        </w:rPr>
        <w:t xml:space="preserve"> </w:t>
      </w:r>
      <w:r w:rsidRPr="00C54EA3">
        <w:rPr>
          <w:b w:val="0"/>
          <w:bCs/>
        </w:rPr>
        <w:t>% of the personal assistants are family members (parents). Only 20</w:t>
      </w:r>
      <w:r w:rsidR="00FD0678" w:rsidRPr="00C54EA3">
        <w:rPr>
          <w:b w:val="0"/>
          <w:bCs/>
        </w:rPr>
        <w:t xml:space="preserve"> </w:t>
      </w:r>
      <w:r w:rsidRPr="00C54EA3">
        <w:rPr>
          <w:b w:val="0"/>
          <w:bCs/>
        </w:rPr>
        <w:t xml:space="preserve">% of the respondents declared that their income level is satisfactory for a decent life. </w:t>
      </w:r>
      <w:proofErr w:type="spellStart"/>
      <w:r w:rsidRPr="00C54EA3">
        <w:rPr>
          <w:b w:val="0"/>
          <w:bCs/>
        </w:rPr>
        <w:t>Monoparental</w:t>
      </w:r>
      <w:proofErr w:type="spellEnd"/>
      <w:r w:rsidRPr="00C54EA3">
        <w:rPr>
          <w:b w:val="0"/>
          <w:bCs/>
        </w:rPr>
        <w:t xml:space="preserve"> families are also numerous and risk of poverty for these families is higher, particularly when they include one or more children with disabilities.</w:t>
      </w:r>
      <w:r w:rsidR="00A133EB" w:rsidRPr="00C54EA3">
        <w:rPr>
          <w:b w:val="0"/>
          <w:bCs/>
        </w:rPr>
        <w:t xml:space="preserve"> </w:t>
      </w:r>
    </w:p>
    <w:p w14:paraId="12C08415" w14:textId="77777777" w:rsidR="00BD17EA" w:rsidRPr="00C54EA3" w:rsidRDefault="00BD17EA" w:rsidP="00C54EA3">
      <w:pPr>
        <w:pStyle w:val="Un-numberedsubheading"/>
        <w:spacing w:after="0"/>
        <w:jc w:val="both"/>
        <w:rPr>
          <w:b w:val="0"/>
          <w:bCs/>
        </w:rPr>
      </w:pPr>
    </w:p>
    <w:p w14:paraId="7E97CB4E" w14:textId="6C8E3720" w:rsidR="00BD17EA" w:rsidRPr="00C54EA3" w:rsidRDefault="00BD17EA" w:rsidP="00C54EA3">
      <w:pPr>
        <w:jc w:val="both"/>
        <w:rPr>
          <w:color w:val="212121"/>
          <w:shd w:val="clear" w:color="auto" w:fill="FFFFFF"/>
        </w:rPr>
      </w:pPr>
      <w:r w:rsidRPr="00C54EA3">
        <w:rPr>
          <w:color w:val="212121"/>
          <w:shd w:val="clear" w:color="auto" w:fill="FFFFFF"/>
        </w:rPr>
        <w:t>According to 2017 CSR, people with disabilities are still at high risk of poverty</w:t>
      </w:r>
      <w:r w:rsidR="00A11A79" w:rsidRPr="00C54EA3">
        <w:rPr>
          <w:color w:val="212121"/>
          <w:shd w:val="clear" w:color="auto" w:fill="FFFFFF"/>
        </w:rPr>
        <w:t>,</w:t>
      </w:r>
      <w:r w:rsidRPr="00C54EA3">
        <w:rPr>
          <w:rStyle w:val="FootnoteReference"/>
          <w:color w:val="212121"/>
          <w:shd w:val="clear" w:color="auto" w:fill="FFFFFF"/>
        </w:rPr>
        <w:footnoteReference w:id="36"/>
      </w:r>
      <w:r w:rsidR="00A11A79" w:rsidRPr="00C54EA3">
        <w:rPr>
          <w:color w:val="212121"/>
          <w:shd w:val="clear" w:color="auto" w:fill="FFFFFF"/>
        </w:rPr>
        <w:t xml:space="preserve"> </w:t>
      </w:r>
      <w:r w:rsidRPr="00C54EA3">
        <w:rPr>
          <w:color w:val="212121"/>
          <w:shd w:val="clear" w:color="auto" w:fill="FFFFFF"/>
        </w:rPr>
        <w:t xml:space="preserve">despite the comprehensive anti-poverty package adopted in 2016. </w:t>
      </w:r>
    </w:p>
    <w:p w14:paraId="205F5996" w14:textId="77777777" w:rsidR="00BD17EA" w:rsidRPr="00C54EA3" w:rsidRDefault="00BD17EA" w:rsidP="00C54EA3">
      <w:pPr>
        <w:pStyle w:val="Un-numberedsubheading"/>
        <w:spacing w:after="0"/>
        <w:jc w:val="both"/>
        <w:rPr>
          <w:b w:val="0"/>
          <w:bCs/>
        </w:rPr>
      </w:pPr>
    </w:p>
    <w:p w14:paraId="04FC98DA" w14:textId="77777777" w:rsidR="0010423F" w:rsidRPr="00C54EA3" w:rsidRDefault="0010423F" w:rsidP="00C54EA3">
      <w:pPr>
        <w:pStyle w:val="Heading1"/>
        <w:jc w:val="both"/>
        <w:rPr>
          <w:sz w:val="24"/>
          <w:szCs w:val="24"/>
          <w:lang w:eastAsia="en-GB"/>
        </w:rPr>
      </w:pPr>
      <w:bookmarkStart w:id="18" w:name="_Toc508203262"/>
      <w:r w:rsidRPr="00C54EA3">
        <w:rPr>
          <w:sz w:val="24"/>
          <w:szCs w:val="24"/>
          <w:lang w:eastAsia="en-GB"/>
        </w:rPr>
        <w:lastRenderedPageBreak/>
        <w:t>Assessment of policies in place to meet the relevant headline targets</w:t>
      </w:r>
      <w:bookmarkEnd w:id="18"/>
    </w:p>
    <w:p w14:paraId="69809000" w14:textId="77777777" w:rsidR="00FC5B43" w:rsidRPr="00C54EA3" w:rsidRDefault="00FC5B43" w:rsidP="00C54EA3">
      <w:pPr>
        <w:jc w:val="both"/>
        <w:rPr>
          <w:lang w:eastAsia="en-GB"/>
        </w:rPr>
      </w:pPr>
    </w:p>
    <w:p w14:paraId="042141AC" w14:textId="77777777" w:rsidR="0010423F" w:rsidRPr="00C54EA3" w:rsidRDefault="0010423F" w:rsidP="00C54EA3">
      <w:pPr>
        <w:pStyle w:val="Heading2"/>
        <w:jc w:val="both"/>
        <w:rPr>
          <w:szCs w:val="24"/>
        </w:rPr>
      </w:pPr>
      <w:bookmarkStart w:id="19" w:name="_Toc508203263"/>
      <w:r w:rsidRPr="00C54EA3">
        <w:rPr>
          <w:szCs w:val="24"/>
        </w:rPr>
        <w:t>Employment</w:t>
      </w:r>
      <w:bookmarkEnd w:id="19"/>
    </w:p>
    <w:p w14:paraId="0AE105A8" w14:textId="77777777" w:rsidR="0010423F" w:rsidRPr="00C54EA3" w:rsidRDefault="0010423F" w:rsidP="00C54EA3">
      <w:pPr>
        <w:jc w:val="both"/>
      </w:pPr>
    </w:p>
    <w:p w14:paraId="75A2AAE9" w14:textId="616C6BE2" w:rsidR="00AE4DCC" w:rsidRPr="00C54EA3" w:rsidRDefault="00AE4DCC" w:rsidP="00C54EA3">
      <w:pPr>
        <w:jc w:val="both"/>
      </w:pPr>
      <w:r w:rsidRPr="00C54EA3">
        <w:t xml:space="preserve">One of the main structural problems identified in relation to the lack of access to the labour market for people with disabilities is a lack of knowledge/understanding of their potential. The disability evaluation system still uses medical/functional criteria, which restricts the participation of people with disabilities particularly in the labour market and, in consequence, does not allow the possibility of intervention through specialised services. </w:t>
      </w:r>
      <w:r w:rsidR="007C1F0A" w:rsidRPr="00C54EA3">
        <w:t xml:space="preserve">Although the </w:t>
      </w:r>
      <w:r w:rsidR="00094BAF" w:rsidRPr="00C54EA3">
        <w:t>Institutional Strategy of the National Employment Agency for 2016-2020 mentions the fact that people with disabilities are a disadvantaged group on the labour market</w:t>
      </w:r>
      <w:r w:rsidR="00B81C84" w:rsidRPr="00C54EA3">
        <w:t xml:space="preserve"> and must be attracted into it</w:t>
      </w:r>
      <w:r w:rsidR="00094BAF" w:rsidRPr="00C54EA3">
        <w:t>, NEA admits not having personalized/adequate counselling services for them.</w:t>
      </w:r>
      <w:r w:rsidR="00B81C84" w:rsidRPr="00C54EA3">
        <w:t xml:space="preserve"> Even more, the lack of staff and proper space to carry out their work is also relevant in this matter.</w:t>
      </w:r>
      <w:r w:rsidR="00094BAF" w:rsidRPr="00C54EA3">
        <w:t xml:space="preserve">  </w:t>
      </w:r>
    </w:p>
    <w:p w14:paraId="7C83A547" w14:textId="77777777" w:rsidR="00AE4DCC" w:rsidRPr="00C54EA3" w:rsidRDefault="00AE4DCC" w:rsidP="00C54EA3">
      <w:pPr>
        <w:jc w:val="both"/>
      </w:pPr>
    </w:p>
    <w:p w14:paraId="61687FB7" w14:textId="77777777" w:rsidR="00AE4DCC" w:rsidRPr="00C54EA3" w:rsidRDefault="00AE4DCC" w:rsidP="00C54EA3">
      <w:pPr>
        <w:jc w:val="both"/>
      </w:pPr>
      <w:r w:rsidRPr="00C54EA3">
        <w:t xml:space="preserve">The reduced number of support services for people with disabilities such as </w:t>
      </w:r>
      <w:r w:rsidRPr="00C54EA3">
        <w:rPr>
          <w:i/>
        </w:rPr>
        <w:t xml:space="preserve">supported employment, accessible transportation and reasonable accommodation </w:t>
      </w:r>
      <w:r w:rsidRPr="00C54EA3">
        <w:t xml:space="preserve">represent an important cause of the high unemployment rate. Furthermore, many people with disabilities still need counselling for increasing self-esteem and training and coaching for developing/practicing their abilities </w:t>
      </w:r>
      <w:proofErr w:type="gramStart"/>
      <w:r w:rsidRPr="00C54EA3">
        <w:t>in order to</w:t>
      </w:r>
      <w:proofErr w:type="gramEnd"/>
      <w:r w:rsidRPr="00C54EA3">
        <w:t xml:space="preserve"> get a job. </w:t>
      </w:r>
    </w:p>
    <w:p w14:paraId="00F8711E" w14:textId="77777777" w:rsidR="00AE4DCC" w:rsidRPr="00C54EA3" w:rsidRDefault="00AE4DCC" w:rsidP="00C54EA3">
      <w:pPr>
        <w:jc w:val="both"/>
      </w:pPr>
    </w:p>
    <w:p w14:paraId="56183303" w14:textId="22B19B32" w:rsidR="00AE4DCC" w:rsidRPr="00C54EA3" w:rsidRDefault="00AE4DCC" w:rsidP="00C54EA3">
      <w:pPr>
        <w:jc w:val="both"/>
      </w:pPr>
      <w:r w:rsidRPr="00C54EA3">
        <w:t xml:space="preserve">In Romania, employment of people with disabilities is also regulated by a </w:t>
      </w:r>
      <w:r w:rsidRPr="00C54EA3">
        <w:rPr>
          <w:i/>
        </w:rPr>
        <w:t>quota system</w:t>
      </w:r>
      <w:r w:rsidR="00A133EB" w:rsidRPr="00C54EA3">
        <w:rPr>
          <w:i/>
        </w:rPr>
        <w:t>:</w:t>
      </w:r>
      <w:r w:rsidRPr="00C54EA3">
        <w:rPr>
          <w:vertAlign w:val="superscript"/>
        </w:rPr>
        <w:footnoteReference w:id="37"/>
      </w:r>
      <w:r w:rsidRPr="00C54EA3">
        <w:rPr>
          <w:i/>
        </w:rPr>
        <w:t xml:space="preserve"> </w:t>
      </w:r>
      <w:r w:rsidRPr="00C54EA3">
        <w:t>according to the legislation</w:t>
      </w:r>
      <w:r w:rsidR="00AB404F" w:rsidRPr="00C54EA3">
        <w:t xml:space="preserve"> on protection of rights of people with disabilities</w:t>
      </w:r>
      <w:r w:rsidRPr="00C54EA3">
        <w:t>, any employer (public or private) with more than 50 employees must hire at least 4</w:t>
      </w:r>
      <w:r w:rsidR="00FD0678" w:rsidRPr="00C54EA3">
        <w:t xml:space="preserve"> </w:t>
      </w:r>
      <w:r w:rsidRPr="00C54EA3">
        <w:t xml:space="preserve">% people with disabilities </w:t>
      </w:r>
      <w:r w:rsidRPr="00C54EA3">
        <w:rPr>
          <w:i/>
        </w:rPr>
        <w:t xml:space="preserve">or </w:t>
      </w:r>
      <w:r w:rsidRPr="00C54EA3">
        <w:t>pay to the state budget the minimum salary calculated for each position reserved to a person with a disability</w:t>
      </w:r>
      <w:r w:rsidR="00AB404F" w:rsidRPr="00C54EA3">
        <w:t>. Until August 2017,</w:t>
      </w:r>
      <w:r w:rsidRPr="00C54EA3">
        <w:t xml:space="preserve"> </w:t>
      </w:r>
      <w:r w:rsidR="00AB404F" w:rsidRPr="00C54EA3">
        <w:t xml:space="preserve">employers not hiring people with disabilities could </w:t>
      </w:r>
      <w:r w:rsidRPr="00C54EA3">
        <w:t>purchase goods and services from protected units for the minimum equivalent amount to the lat</w:t>
      </w:r>
      <w:r w:rsidR="00B0133F" w:rsidRPr="00C54EA3">
        <w:t>ter</w:t>
      </w:r>
      <w:r w:rsidR="00AB404F" w:rsidRPr="00C54EA3">
        <w:t xml:space="preserve">, but </w:t>
      </w:r>
      <w:r w:rsidR="00A11A79" w:rsidRPr="00C54EA3">
        <w:t>this criterion</w:t>
      </w:r>
      <w:r w:rsidR="00AB404F" w:rsidRPr="00C54EA3">
        <w:t xml:space="preserve"> has been removed</w:t>
      </w:r>
      <w:r w:rsidR="00B0133F" w:rsidRPr="00C54EA3">
        <w:t xml:space="preserve">. </w:t>
      </w:r>
      <w:r w:rsidR="00AB404F" w:rsidRPr="00C54EA3">
        <w:t>For the moment, it is hard to predict whether the e</w:t>
      </w:r>
      <w:r w:rsidR="00B0133F" w:rsidRPr="00C54EA3">
        <w:t xml:space="preserve">mployers </w:t>
      </w:r>
      <w:r w:rsidR="00AB404F" w:rsidRPr="00C54EA3">
        <w:t xml:space="preserve">would still </w:t>
      </w:r>
      <w:r w:rsidR="00B0133F" w:rsidRPr="00C54EA3">
        <w:t xml:space="preserve">prefer the last </w:t>
      </w:r>
      <w:r w:rsidRPr="00C54EA3">
        <w:t xml:space="preserve">option to the detriment of the quota system, with reasons given ranging from </w:t>
      </w:r>
      <w:r w:rsidRPr="00C54EA3">
        <w:rPr>
          <w:i/>
        </w:rPr>
        <w:t xml:space="preserve">lack of request for jobs from people with disabilities </w:t>
      </w:r>
      <w:r w:rsidRPr="00C54EA3">
        <w:t xml:space="preserve">or </w:t>
      </w:r>
      <w:r w:rsidRPr="00C54EA3">
        <w:rPr>
          <w:i/>
        </w:rPr>
        <w:t xml:space="preserve">lack of reasonable </w:t>
      </w:r>
      <w:r w:rsidR="00B0133F" w:rsidRPr="00C54EA3">
        <w:rPr>
          <w:i/>
        </w:rPr>
        <w:t>accommodation</w:t>
      </w:r>
      <w:r w:rsidRPr="00C54EA3">
        <w:rPr>
          <w:i/>
        </w:rPr>
        <w:t xml:space="preserve">, skills, information to make jobs accessible </w:t>
      </w:r>
      <w:r w:rsidR="009E4D14" w:rsidRPr="00C54EA3">
        <w:t>etc.</w:t>
      </w:r>
      <w:r w:rsidRPr="00C54EA3">
        <w:rPr>
          <w:vertAlign w:val="superscript"/>
        </w:rPr>
        <w:footnoteReference w:id="38"/>
      </w:r>
    </w:p>
    <w:p w14:paraId="7969CCE2" w14:textId="77777777" w:rsidR="00AE4DCC" w:rsidRPr="00C54EA3" w:rsidRDefault="00AE4DCC" w:rsidP="00C54EA3">
      <w:pPr>
        <w:jc w:val="both"/>
      </w:pPr>
    </w:p>
    <w:p w14:paraId="6AE5FAC0" w14:textId="6A8576CD" w:rsidR="005D69DA" w:rsidRPr="00C54EA3" w:rsidRDefault="00AB404F" w:rsidP="00C54EA3">
      <w:pPr>
        <w:jc w:val="both"/>
      </w:pPr>
      <w:r w:rsidRPr="00C54EA3">
        <w:t xml:space="preserve">Compared to the 2016 NRP for Romania, </w:t>
      </w:r>
      <w:r w:rsidR="00C2023A" w:rsidRPr="00C54EA3">
        <w:t xml:space="preserve">the most recent NRP </w:t>
      </w:r>
      <w:r w:rsidR="005D69DA" w:rsidRPr="00C54EA3">
        <w:t xml:space="preserve">noted </w:t>
      </w:r>
      <w:r w:rsidR="001C227C" w:rsidRPr="00C54EA3">
        <w:t xml:space="preserve">some relevant developments. </w:t>
      </w:r>
      <w:r w:rsidR="00C2023A" w:rsidRPr="00C54EA3">
        <w:t xml:space="preserve">UIB </w:t>
      </w:r>
      <w:r w:rsidR="005D69DA" w:rsidRPr="00C54EA3">
        <w:t>(</w:t>
      </w:r>
      <w:r w:rsidR="00C2023A" w:rsidRPr="00C54EA3">
        <w:t>Unemployment Insurance Budget</w:t>
      </w:r>
      <w:r w:rsidR="005D69DA" w:rsidRPr="00C54EA3">
        <w:t>)</w:t>
      </w:r>
      <w:r w:rsidR="00676CEE" w:rsidRPr="00C54EA3">
        <w:t xml:space="preserve"> subsidized</w:t>
      </w:r>
      <w:r w:rsidR="00C2023A" w:rsidRPr="00C54EA3">
        <w:t xml:space="preserve"> programmes aiming at facilitating the temporary employment of unemployed and beneficiaries of social protection measures, based on a fixed-term working agree</w:t>
      </w:r>
      <w:r w:rsidR="005D69DA" w:rsidRPr="00C54EA3">
        <w:t>ment of no more than 12 months</w:t>
      </w:r>
      <w:r w:rsidR="00C2023A" w:rsidRPr="00C54EA3">
        <w:t xml:space="preserve">. The incentive scheme will finance community-led local programmes </w:t>
      </w:r>
      <w:r w:rsidR="005D69DA" w:rsidRPr="00C54EA3">
        <w:t>in which will more than 9,000 persons will participate in the labour market in the year 2016, among them people with disabilities</w:t>
      </w:r>
      <w:r w:rsidR="00FD0678" w:rsidRPr="00C54EA3">
        <w:t>.</w:t>
      </w:r>
      <w:r w:rsidR="00C2023A" w:rsidRPr="00C54EA3">
        <w:rPr>
          <w:rStyle w:val="FootnoteReference"/>
        </w:rPr>
        <w:footnoteReference w:id="39"/>
      </w:r>
      <w:r w:rsidR="005D69DA" w:rsidRPr="00C54EA3">
        <w:t xml:space="preserve"> In the previous years, </w:t>
      </w:r>
      <w:r w:rsidR="00C2023A" w:rsidRPr="00C54EA3">
        <w:t xml:space="preserve">UIB financed employment services for about </w:t>
      </w:r>
      <w:r w:rsidR="006473C4" w:rsidRPr="00C54EA3">
        <w:t>740 disabled persons.</w:t>
      </w:r>
      <w:r w:rsidR="00C42899" w:rsidRPr="00C54EA3">
        <w:t xml:space="preserve"> The 2017 NRP mentioned that, </w:t>
      </w:r>
      <w:r w:rsidR="00C42899" w:rsidRPr="00C54EA3">
        <w:lastRenderedPageBreak/>
        <w:t>through mobility schemes, apprenticeship and counselling programmes and traineeships, activation incentives and employers’ subsidies, the (re)integration into the labour market of unemployed, including disabled persons, will be encouraged.</w:t>
      </w:r>
    </w:p>
    <w:p w14:paraId="13D1934F" w14:textId="77777777" w:rsidR="009C7CC3" w:rsidRPr="00C54EA3" w:rsidRDefault="009C7CC3" w:rsidP="00C54EA3">
      <w:pPr>
        <w:jc w:val="both"/>
      </w:pPr>
    </w:p>
    <w:p w14:paraId="6A0D0567" w14:textId="77777777" w:rsidR="009C7CC3" w:rsidRPr="00C54EA3" w:rsidRDefault="009C7CC3" w:rsidP="00C54EA3">
      <w:pPr>
        <w:jc w:val="both"/>
      </w:pPr>
      <w:r w:rsidRPr="00C54EA3">
        <w:t xml:space="preserve">In this context, new projects using structural funds have been opened, some of those aimed at </w:t>
      </w:r>
      <w:r w:rsidRPr="00C54EA3">
        <w:rPr>
          <w:i/>
        </w:rPr>
        <w:t xml:space="preserve">Increasing the quality of the educational infrastructure relevant to the labour market, Increasing the quality of the educational infrastructure </w:t>
      </w:r>
      <w:r w:rsidRPr="00C54EA3">
        <w:t xml:space="preserve">(opened from August 2017 to December 2018) – Axis 4 and some aimed at </w:t>
      </w:r>
      <w:r w:rsidRPr="00C54EA3">
        <w:rPr>
          <w:i/>
        </w:rPr>
        <w:t xml:space="preserve">Increasing the number of tertiary and non-tertiary education graduates in finding a job as a result of access to learning activities to a potential job / research / innovation </w:t>
      </w:r>
      <w:r w:rsidRPr="00C54EA3">
        <w:t>(opened from October 2016 to February 2017).</w:t>
      </w:r>
    </w:p>
    <w:p w14:paraId="10953A1B" w14:textId="77777777" w:rsidR="009C7CC3" w:rsidRPr="00C54EA3" w:rsidRDefault="009C7CC3" w:rsidP="00C54EA3">
      <w:pPr>
        <w:jc w:val="both"/>
      </w:pPr>
    </w:p>
    <w:p w14:paraId="47E2D0AF" w14:textId="77777777" w:rsidR="005D69DA" w:rsidRPr="00C54EA3" w:rsidRDefault="006473C4" w:rsidP="00C54EA3">
      <w:pPr>
        <w:jc w:val="both"/>
      </w:pPr>
      <w:r w:rsidRPr="00C54EA3">
        <w:t xml:space="preserve">Also, we must mention that ESF funded (re)qualification programmes or equal opportunity measures for </w:t>
      </w:r>
      <w:r w:rsidR="0087534B" w:rsidRPr="00C54EA3">
        <w:t>3,846 disabled persons</w:t>
      </w:r>
      <w:r w:rsidR="001C227C" w:rsidRPr="00C54EA3">
        <w:t xml:space="preserve"> (see Section 6 later)</w:t>
      </w:r>
      <w:r w:rsidR="0087534B" w:rsidRPr="00C54EA3">
        <w:t>.</w:t>
      </w:r>
    </w:p>
    <w:p w14:paraId="636CB039" w14:textId="77777777" w:rsidR="00F85CB4" w:rsidRPr="00C54EA3" w:rsidRDefault="00F85CB4" w:rsidP="00C54EA3">
      <w:pPr>
        <w:jc w:val="both"/>
      </w:pPr>
    </w:p>
    <w:p w14:paraId="5BB17510" w14:textId="77777777" w:rsidR="00F85CB4" w:rsidRPr="00C54EA3" w:rsidRDefault="00F85CB4" w:rsidP="00C54EA3">
      <w:pPr>
        <w:jc w:val="both"/>
      </w:pPr>
      <w:r w:rsidRPr="00C54EA3">
        <w:t xml:space="preserve">Simultaneously, an annual report on the Employment Program for 2015 shows that people </w:t>
      </w:r>
      <w:r w:rsidR="00D94696" w:rsidRPr="00C54EA3">
        <w:t>belonging to disadvantaged groups on labour market</w:t>
      </w:r>
      <w:r w:rsidRPr="00C54EA3">
        <w:t xml:space="preserve"> receive special attention</w:t>
      </w:r>
      <w:r w:rsidR="00D94696" w:rsidRPr="00C54EA3">
        <w:t xml:space="preserve"> from the National Agency for Employment and benefit from training – in 2015, 23.098 jobless people, out of which only </w:t>
      </w:r>
      <w:r w:rsidR="005620B8" w:rsidRPr="00C54EA3">
        <w:t>0,29</w:t>
      </w:r>
      <w:r w:rsidR="00FD0678" w:rsidRPr="00C54EA3">
        <w:t xml:space="preserve"> </w:t>
      </w:r>
      <w:r w:rsidR="00D94696" w:rsidRPr="00C54EA3">
        <w:t>% with disabilities</w:t>
      </w:r>
      <w:r w:rsidR="00D94696" w:rsidRPr="00C54EA3">
        <w:rPr>
          <w:rStyle w:val="FootnoteReference"/>
        </w:rPr>
        <w:footnoteReference w:id="40"/>
      </w:r>
      <w:r w:rsidR="00D94696" w:rsidRPr="00C54EA3">
        <w:t xml:space="preserve"> (69 people).</w:t>
      </w:r>
      <w:r w:rsidR="00AE101D" w:rsidRPr="00C54EA3">
        <w:t xml:space="preserve"> One of the possible explanations for these little numbers is that the National </w:t>
      </w:r>
      <w:r w:rsidR="007A1FB5" w:rsidRPr="00C54EA3">
        <w:t xml:space="preserve">Employment </w:t>
      </w:r>
      <w:r w:rsidR="00AE101D" w:rsidRPr="00C54EA3">
        <w:t xml:space="preserve">Agency is more and more focused on integrating Romanian workers on European labour market and </w:t>
      </w:r>
      <w:r w:rsidR="0019033F" w:rsidRPr="00C54EA3">
        <w:t>on informing on standard employment opportunities.</w:t>
      </w:r>
    </w:p>
    <w:p w14:paraId="41E4D867" w14:textId="77777777" w:rsidR="00D94696" w:rsidRPr="00C54EA3" w:rsidRDefault="00D94696" w:rsidP="00C54EA3">
      <w:pPr>
        <w:jc w:val="both"/>
      </w:pPr>
    </w:p>
    <w:p w14:paraId="034ECF59" w14:textId="77777777" w:rsidR="000E3E1C" w:rsidRPr="00C54EA3" w:rsidRDefault="000E3E1C" w:rsidP="00C54EA3">
      <w:pPr>
        <w:jc w:val="both"/>
        <w:rPr>
          <w:i/>
        </w:rPr>
      </w:pPr>
      <w:r w:rsidRPr="00C54EA3">
        <w:t xml:space="preserve">However, measures related to increasing participation on the labour market of inactive people including people with disabilities point to: </w:t>
      </w:r>
      <w:r w:rsidRPr="00C54EA3">
        <w:rPr>
          <w:i/>
        </w:rPr>
        <w:t>encouraging entrepreneurship, social economy and self-employment.</w:t>
      </w:r>
    </w:p>
    <w:p w14:paraId="01753A57" w14:textId="77777777" w:rsidR="000E3E1C" w:rsidRPr="00C54EA3" w:rsidRDefault="000E3E1C" w:rsidP="00C54EA3">
      <w:pPr>
        <w:jc w:val="both"/>
        <w:rPr>
          <w:i/>
        </w:rPr>
      </w:pPr>
    </w:p>
    <w:p w14:paraId="094BC725" w14:textId="77777777" w:rsidR="000E3E1C" w:rsidRPr="00C54EA3" w:rsidRDefault="000E3E1C" w:rsidP="00C54EA3">
      <w:pPr>
        <w:jc w:val="both"/>
      </w:pPr>
      <w:r w:rsidRPr="00C54EA3">
        <w:t>Based on the existing situation pointing to a massive unemployment amongst people with disabilities in Romania (caused by multiple factors such as low p</w:t>
      </w:r>
      <w:r w:rsidR="002F7CAE" w:rsidRPr="00C54EA3">
        <w:t xml:space="preserve">ayment rates for </w:t>
      </w:r>
      <w:proofErr w:type="spellStart"/>
      <w:r w:rsidR="002F7CAE" w:rsidRPr="00C54EA3">
        <w:t>PwD</w:t>
      </w:r>
      <w:proofErr w:type="spellEnd"/>
      <w:r w:rsidR="002F7CAE" w:rsidRPr="00C54EA3">
        <w:t>, reticence of employers etc.), such measures should be accompanied by more vigorous policy approaches such as, for example, eliminating the option of choosing to pay to the state budget instead of hiring people with disabilities – particularly in the case of public authorities or introducing the support</w:t>
      </w:r>
      <w:r w:rsidR="00FD0678" w:rsidRPr="00C54EA3">
        <w:t>ed employment services.</w:t>
      </w:r>
    </w:p>
    <w:p w14:paraId="3B238F02" w14:textId="77777777" w:rsidR="00FD0678" w:rsidRPr="00C54EA3" w:rsidRDefault="00FD0678" w:rsidP="00C54EA3">
      <w:pPr>
        <w:jc w:val="both"/>
      </w:pPr>
    </w:p>
    <w:p w14:paraId="5E320BC2" w14:textId="77777777" w:rsidR="00C202BB" w:rsidRPr="00C54EA3" w:rsidRDefault="00C202BB" w:rsidP="00C54EA3">
      <w:pPr>
        <w:jc w:val="both"/>
      </w:pPr>
      <w:r w:rsidRPr="00C54EA3">
        <w:t xml:space="preserve">Main specific objectives and planned actions for employment of </w:t>
      </w:r>
      <w:proofErr w:type="spellStart"/>
      <w:r w:rsidRPr="00C54EA3">
        <w:t>PwD</w:t>
      </w:r>
      <w:proofErr w:type="spellEnd"/>
      <w:r w:rsidRPr="00C54EA3">
        <w:t xml:space="preserve"> provisioned in the Plan of Actions for 2016 – 2020</w:t>
      </w:r>
      <w:r w:rsidR="002F7CAE" w:rsidRPr="00C54EA3">
        <w:t xml:space="preserve"> (consequent to the National Strategy)</w:t>
      </w:r>
      <w:r w:rsidR="00FD0678" w:rsidRPr="00C54EA3">
        <w:t xml:space="preserve"> period are:</w:t>
      </w:r>
    </w:p>
    <w:p w14:paraId="40FA0132" w14:textId="77777777" w:rsidR="00FD0678" w:rsidRPr="00C54EA3" w:rsidRDefault="00FD0678" w:rsidP="00C54EA3">
      <w:pPr>
        <w:jc w:val="both"/>
      </w:pPr>
    </w:p>
    <w:p w14:paraId="520CAE55" w14:textId="77777777" w:rsidR="00C202BB" w:rsidRPr="00C54EA3" w:rsidRDefault="00C202BB" w:rsidP="00C54EA3">
      <w:pPr>
        <w:numPr>
          <w:ilvl w:val="0"/>
          <w:numId w:val="26"/>
        </w:numPr>
        <w:ind w:left="567" w:hanging="567"/>
        <w:jc w:val="both"/>
      </w:pPr>
      <w:r w:rsidRPr="00C54EA3">
        <w:t xml:space="preserve">Ensuring access of </w:t>
      </w:r>
      <w:proofErr w:type="spellStart"/>
      <w:r w:rsidRPr="00C54EA3">
        <w:t>PwD</w:t>
      </w:r>
      <w:proofErr w:type="spellEnd"/>
      <w:r w:rsidRPr="00C54EA3">
        <w:t xml:space="preserve"> to an open, inclusive and accessible working environment </w:t>
      </w:r>
    </w:p>
    <w:p w14:paraId="4B88E48B" w14:textId="77777777" w:rsidR="00C202BB" w:rsidRPr="00C54EA3" w:rsidRDefault="00C202BB" w:rsidP="00C54EA3">
      <w:pPr>
        <w:numPr>
          <w:ilvl w:val="0"/>
          <w:numId w:val="26"/>
        </w:numPr>
        <w:ind w:left="567" w:hanging="567"/>
        <w:jc w:val="both"/>
      </w:pPr>
      <w:r w:rsidRPr="00C54EA3">
        <w:t xml:space="preserve">Ensuring access of </w:t>
      </w:r>
      <w:proofErr w:type="spellStart"/>
      <w:r w:rsidRPr="00C54EA3">
        <w:t>PwD</w:t>
      </w:r>
      <w:proofErr w:type="spellEnd"/>
      <w:r w:rsidRPr="00C54EA3">
        <w:t xml:space="preserve"> to vocational training, entrepreneurial and independent living training</w:t>
      </w:r>
    </w:p>
    <w:p w14:paraId="5DB49763" w14:textId="77777777" w:rsidR="00C202BB" w:rsidRPr="00C54EA3" w:rsidRDefault="00C202BB" w:rsidP="00C54EA3">
      <w:pPr>
        <w:numPr>
          <w:ilvl w:val="0"/>
          <w:numId w:val="26"/>
        </w:numPr>
        <w:ind w:left="567" w:hanging="567"/>
        <w:jc w:val="both"/>
      </w:pPr>
      <w:r w:rsidRPr="00C54EA3">
        <w:t xml:space="preserve">Promoting valuable contributions that </w:t>
      </w:r>
      <w:proofErr w:type="spellStart"/>
      <w:r w:rsidRPr="00C54EA3">
        <w:t>PwD</w:t>
      </w:r>
      <w:proofErr w:type="spellEnd"/>
      <w:r w:rsidRPr="00C54EA3">
        <w:t xml:space="preserve"> may bring to communities, through employment and work </w:t>
      </w:r>
    </w:p>
    <w:p w14:paraId="7420AA92" w14:textId="77777777" w:rsidR="00C202BB" w:rsidRPr="00C54EA3" w:rsidRDefault="00C202BB" w:rsidP="00C54EA3">
      <w:pPr>
        <w:numPr>
          <w:ilvl w:val="0"/>
          <w:numId w:val="26"/>
        </w:numPr>
        <w:ind w:left="567" w:hanging="567"/>
        <w:jc w:val="both"/>
      </w:pPr>
      <w:r w:rsidRPr="00C54EA3">
        <w:lastRenderedPageBreak/>
        <w:t xml:space="preserve">Coordinating and monitoring the process of promoting and protecting the right to independent living and work of people with disabilities. </w:t>
      </w:r>
    </w:p>
    <w:p w14:paraId="243C9BAD" w14:textId="77777777" w:rsidR="00C202BB" w:rsidRPr="00C54EA3" w:rsidRDefault="00C202BB" w:rsidP="00C54EA3">
      <w:pPr>
        <w:jc w:val="both"/>
      </w:pPr>
    </w:p>
    <w:p w14:paraId="442D0068" w14:textId="77777777" w:rsidR="00C202BB" w:rsidRPr="00C54EA3" w:rsidRDefault="00C202BB" w:rsidP="00C54EA3">
      <w:pPr>
        <w:jc w:val="both"/>
      </w:pPr>
      <w:r w:rsidRPr="00C54EA3">
        <w:t xml:space="preserve">Concrete actions to be undertaken under the above mentioned specific objectives: </w:t>
      </w:r>
    </w:p>
    <w:p w14:paraId="0D757757" w14:textId="77777777" w:rsidR="00C202BB" w:rsidRPr="00C54EA3" w:rsidRDefault="00C202BB" w:rsidP="00C54EA3">
      <w:pPr>
        <w:jc w:val="both"/>
      </w:pPr>
    </w:p>
    <w:p w14:paraId="6E700B1C" w14:textId="77777777" w:rsidR="00C202BB" w:rsidRPr="00C54EA3" w:rsidRDefault="00C202BB" w:rsidP="00C54EA3">
      <w:pPr>
        <w:jc w:val="both"/>
      </w:pPr>
      <w:r w:rsidRPr="00C54EA3">
        <w:t xml:space="preserve">SO1: </w:t>
      </w:r>
    </w:p>
    <w:p w14:paraId="5B672E73" w14:textId="77777777" w:rsidR="00A133EB" w:rsidRPr="00C54EA3" w:rsidRDefault="00A133EB" w:rsidP="00C54EA3">
      <w:pPr>
        <w:jc w:val="both"/>
      </w:pPr>
    </w:p>
    <w:p w14:paraId="206DE698" w14:textId="77777777" w:rsidR="00C202BB" w:rsidRPr="00C54EA3" w:rsidRDefault="00C202BB" w:rsidP="00C54EA3">
      <w:pPr>
        <w:numPr>
          <w:ilvl w:val="0"/>
          <w:numId w:val="25"/>
        </w:numPr>
        <w:ind w:left="567" w:hanging="567"/>
        <w:jc w:val="both"/>
      </w:pPr>
      <w:r w:rsidRPr="00C54EA3">
        <w:t xml:space="preserve">Improving the administrative procedures in what concerns the recruitment, employment and maintaining on the </w:t>
      </w:r>
      <w:r w:rsidR="009E4D14" w:rsidRPr="00C54EA3">
        <w:t>labour</w:t>
      </w:r>
      <w:r w:rsidR="00A133EB" w:rsidRPr="00C54EA3">
        <w:t xml:space="preserve"> market, career path</w:t>
      </w:r>
      <w:r w:rsidRPr="00C54EA3">
        <w:t>, health and security at workplace for people with disabilities;</w:t>
      </w:r>
    </w:p>
    <w:p w14:paraId="33340F84" w14:textId="77777777" w:rsidR="00C202BB" w:rsidRPr="00C54EA3" w:rsidRDefault="00C202BB" w:rsidP="00C54EA3">
      <w:pPr>
        <w:numPr>
          <w:ilvl w:val="0"/>
          <w:numId w:val="25"/>
        </w:numPr>
        <w:ind w:left="567" w:hanging="567"/>
        <w:jc w:val="both"/>
      </w:pPr>
      <w:r w:rsidRPr="00C54EA3">
        <w:t>Elaborating information programs (including in accessible formats) regarding the rights and liberties of people with disabilities, with an accent on the rig</w:t>
      </w:r>
      <w:r w:rsidR="00A133EB" w:rsidRPr="00C54EA3">
        <w:t>ht to work and support services;</w:t>
      </w:r>
    </w:p>
    <w:p w14:paraId="6F43FA91" w14:textId="77777777" w:rsidR="00C202BB" w:rsidRPr="00C54EA3" w:rsidRDefault="00C202BB" w:rsidP="00C54EA3">
      <w:pPr>
        <w:numPr>
          <w:ilvl w:val="0"/>
          <w:numId w:val="25"/>
        </w:numPr>
        <w:ind w:left="567" w:hanging="567"/>
        <w:jc w:val="both"/>
      </w:pPr>
      <w:r w:rsidRPr="00C54EA3">
        <w:t xml:space="preserve">Elaborating information packages regarding </w:t>
      </w:r>
      <w:r w:rsidRPr="00C54EA3">
        <w:rPr>
          <w:i/>
        </w:rPr>
        <w:t xml:space="preserve">reasonable </w:t>
      </w:r>
      <w:r w:rsidR="009E4D14" w:rsidRPr="00C54EA3">
        <w:rPr>
          <w:i/>
        </w:rPr>
        <w:t>accommodation</w:t>
      </w:r>
      <w:r w:rsidRPr="00C54EA3">
        <w:rPr>
          <w:i/>
        </w:rPr>
        <w:t xml:space="preserve"> </w:t>
      </w:r>
      <w:r w:rsidRPr="00C54EA3">
        <w:t xml:space="preserve">and </w:t>
      </w:r>
      <w:r w:rsidRPr="00C54EA3">
        <w:rPr>
          <w:i/>
        </w:rPr>
        <w:t xml:space="preserve">universal design </w:t>
      </w:r>
      <w:r w:rsidRPr="00C54EA3">
        <w:t>in employment</w:t>
      </w:r>
      <w:r w:rsidR="00A133EB" w:rsidRPr="00C54EA3">
        <w:t>;</w:t>
      </w:r>
    </w:p>
    <w:p w14:paraId="1DF06EAF" w14:textId="77777777" w:rsidR="00C202BB" w:rsidRPr="00C54EA3" w:rsidRDefault="00C202BB" w:rsidP="00C54EA3">
      <w:pPr>
        <w:numPr>
          <w:ilvl w:val="0"/>
          <w:numId w:val="25"/>
        </w:numPr>
        <w:ind w:left="567" w:hanging="567"/>
        <w:jc w:val="both"/>
      </w:pPr>
      <w:r w:rsidRPr="00C54EA3">
        <w:t>Integrated educational and support services for personal developm</w:t>
      </w:r>
      <w:r w:rsidR="00A133EB" w:rsidRPr="00C54EA3">
        <w:t>ent of people with disabilities;</w:t>
      </w:r>
    </w:p>
    <w:p w14:paraId="2BD2F988" w14:textId="77777777" w:rsidR="00C202BB" w:rsidRPr="00C54EA3" w:rsidRDefault="00C202BB" w:rsidP="00C54EA3">
      <w:pPr>
        <w:numPr>
          <w:ilvl w:val="0"/>
          <w:numId w:val="25"/>
        </w:numPr>
        <w:ind w:left="567" w:hanging="567"/>
        <w:jc w:val="both"/>
      </w:pPr>
      <w:r w:rsidRPr="00C54EA3">
        <w:t xml:space="preserve">Training, qualification and counselling for staff employed in social services, employment services and support services for people with disabilities </w:t>
      </w:r>
    </w:p>
    <w:p w14:paraId="57BB9498" w14:textId="77777777" w:rsidR="00C202BB" w:rsidRPr="00C54EA3" w:rsidRDefault="00C202BB" w:rsidP="00C54EA3">
      <w:pPr>
        <w:numPr>
          <w:ilvl w:val="0"/>
          <w:numId w:val="25"/>
        </w:numPr>
        <w:ind w:left="567" w:hanging="567"/>
        <w:jc w:val="both"/>
      </w:pPr>
      <w:r w:rsidRPr="00C54EA3">
        <w:t xml:space="preserve">Monitoring employment of </w:t>
      </w:r>
      <w:proofErr w:type="spellStart"/>
      <w:r w:rsidRPr="00C54EA3">
        <w:t>PwD</w:t>
      </w:r>
      <w:proofErr w:type="spellEnd"/>
      <w:r w:rsidRPr="00C54EA3">
        <w:t xml:space="preserve"> in public sector</w:t>
      </w:r>
      <w:r w:rsidR="00A133EB" w:rsidRPr="00C54EA3">
        <w:t>;</w:t>
      </w:r>
    </w:p>
    <w:p w14:paraId="52408247" w14:textId="77777777" w:rsidR="00C202BB" w:rsidRPr="00C54EA3" w:rsidRDefault="00C202BB" w:rsidP="00C54EA3">
      <w:pPr>
        <w:numPr>
          <w:ilvl w:val="0"/>
          <w:numId w:val="25"/>
        </w:numPr>
        <w:ind w:left="567" w:hanging="567"/>
        <w:jc w:val="both"/>
      </w:pPr>
      <w:r w:rsidRPr="00C54EA3">
        <w:t>Intensifying cooperation between local authorities with competences for auxiliary services such as: transport</w:t>
      </w:r>
      <w:r w:rsidR="00A133EB" w:rsidRPr="00C54EA3">
        <w:t>ation, judicial assistance etc.;</w:t>
      </w:r>
    </w:p>
    <w:p w14:paraId="0FD2CFB0" w14:textId="77777777" w:rsidR="00C202BB" w:rsidRPr="00C54EA3" w:rsidRDefault="00C202BB" w:rsidP="00C54EA3">
      <w:pPr>
        <w:numPr>
          <w:ilvl w:val="0"/>
          <w:numId w:val="25"/>
        </w:numPr>
        <w:ind w:left="567" w:hanging="567"/>
        <w:jc w:val="both"/>
      </w:pPr>
      <w:r w:rsidRPr="00C54EA3">
        <w:t>Elaboration of impact studies on the effectiveness of the quota system, reasonable accom</w:t>
      </w:r>
      <w:r w:rsidR="00A133EB" w:rsidRPr="00C54EA3">
        <w:t>modation, protected employment.</w:t>
      </w:r>
    </w:p>
    <w:p w14:paraId="25764A03" w14:textId="77777777" w:rsidR="00C202BB" w:rsidRPr="00C54EA3" w:rsidRDefault="00C202BB" w:rsidP="00C54EA3">
      <w:pPr>
        <w:jc w:val="both"/>
      </w:pPr>
    </w:p>
    <w:p w14:paraId="46021BF9" w14:textId="77777777" w:rsidR="00C202BB" w:rsidRPr="00C54EA3" w:rsidRDefault="00C202BB" w:rsidP="00C54EA3">
      <w:pPr>
        <w:jc w:val="both"/>
      </w:pPr>
      <w:r w:rsidRPr="00C54EA3">
        <w:t>SO2:</w:t>
      </w:r>
    </w:p>
    <w:p w14:paraId="59F7F2DA" w14:textId="77777777" w:rsidR="00A133EB" w:rsidRPr="00C54EA3" w:rsidRDefault="00A133EB" w:rsidP="00C54EA3">
      <w:pPr>
        <w:jc w:val="both"/>
      </w:pPr>
    </w:p>
    <w:p w14:paraId="182C7568" w14:textId="77777777" w:rsidR="00C202BB" w:rsidRPr="00C54EA3" w:rsidRDefault="00C202BB" w:rsidP="00C54EA3">
      <w:pPr>
        <w:numPr>
          <w:ilvl w:val="0"/>
          <w:numId w:val="25"/>
        </w:numPr>
        <w:ind w:left="567" w:hanging="567"/>
        <w:jc w:val="both"/>
      </w:pPr>
      <w:r w:rsidRPr="00C54EA3">
        <w:t>Improving the evaluation system of abilities and options of persons with disabilities;</w:t>
      </w:r>
    </w:p>
    <w:p w14:paraId="7CA0D2F2" w14:textId="77777777" w:rsidR="00C202BB" w:rsidRPr="00C54EA3" w:rsidRDefault="00C202BB" w:rsidP="00C54EA3">
      <w:pPr>
        <w:numPr>
          <w:ilvl w:val="0"/>
          <w:numId w:val="25"/>
        </w:numPr>
        <w:ind w:left="567" w:hanging="567"/>
        <w:jc w:val="both"/>
      </w:pPr>
      <w:r w:rsidRPr="00C54EA3">
        <w:t xml:space="preserve">Improving legislation and institutions in the field of matching education and </w:t>
      </w:r>
      <w:r w:rsidR="009E4D14" w:rsidRPr="00C54EA3">
        <w:t>labour</w:t>
      </w:r>
      <w:r w:rsidRPr="00C54EA3">
        <w:t xml:space="preserve"> market for identifying and removing barriers;</w:t>
      </w:r>
    </w:p>
    <w:p w14:paraId="40C988A6" w14:textId="77777777" w:rsidR="00C202BB" w:rsidRPr="00C54EA3" w:rsidRDefault="00C202BB" w:rsidP="00C54EA3">
      <w:pPr>
        <w:numPr>
          <w:ilvl w:val="0"/>
          <w:numId w:val="25"/>
        </w:numPr>
        <w:ind w:left="567" w:hanging="567"/>
        <w:jc w:val="both"/>
      </w:pPr>
      <w:r w:rsidRPr="00C54EA3">
        <w:t>Encouraging the development of vocational training, protected shelters and alternatives for work and independent living, as well as auxiliary services;</w:t>
      </w:r>
    </w:p>
    <w:p w14:paraId="0E8C102A" w14:textId="77777777" w:rsidR="00C202BB" w:rsidRPr="00C54EA3" w:rsidRDefault="00C202BB" w:rsidP="00C54EA3">
      <w:pPr>
        <w:numPr>
          <w:ilvl w:val="0"/>
          <w:numId w:val="25"/>
        </w:numPr>
        <w:ind w:left="567" w:hanging="567"/>
        <w:jc w:val="both"/>
      </w:pPr>
      <w:r w:rsidRPr="00C54EA3">
        <w:t>Training personnel currently responsible with vocational evaluation and professional orientation in independent living approach;</w:t>
      </w:r>
    </w:p>
    <w:p w14:paraId="2E54D627" w14:textId="77777777" w:rsidR="00C202BB" w:rsidRPr="00C54EA3" w:rsidRDefault="00C202BB" w:rsidP="00C54EA3">
      <w:pPr>
        <w:numPr>
          <w:ilvl w:val="0"/>
          <w:numId w:val="25"/>
        </w:numPr>
        <w:ind w:left="567" w:hanging="567"/>
        <w:jc w:val="both"/>
      </w:pPr>
      <w:r w:rsidRPr="00C54EA3">
        <w:t>Information and training for families and tutors of people of disabilities f</w:t>
      </w:r>
      <w:r w:rsidR="00A133EB" w:rsidRPr="00C54EA3">
        <w:t>or diminishing hyper-protection;</w:t>
      </w:r>
    </w:p>
    <w:p w14:paraId="07A8672B" w14:textId="77777777" w:rsidR="00C202BB" w:rsidRPr="00C54EA3" w:rsidRDefault="00C202BB" w:rsidP="00C54EA3">
      <w:pPr>
        <w:numPr>
          <w:ilvl w:val="0"/>
          <w:numId w:val="25"/>
        </w:numPr>
        <w:ind w:left="567" w:hanging="567"/>
        <w:jc w:val="both"/>
      </w:pPr>
      <w:r w:rsidRPr="00C54EA3">
        <w:t xml:space="preserve">Participation of </w:t>
      </w:r>
      <w:proofErr w:type="spellStart"/>
      <w:r w:rsidRPr="00C54EA3">
        <w:t>PwD</w:t>
      </w:r>
      <w:proofErr w:type="spellEnd"/>
      <w:r w:rsidRPr="00C54EA3">
        <w:t xml:space="preserve"> to programs for information, counselling, personal development, </w:t>
      </w:r>
      <w:r w:rsidRPr="00C54EA3">
        <w:rPr>
          <w:i/>
        </w:rPr>
        <w:t xml:space="preserve">second chance </w:t>
      </w:r>
      <w:r w:rsidRPr="00C54EA3">
        <w:t>education</w:t>
      </w:r>
      <w:r w:rsidR="00A133EB" w:rsidRPr="00C54EA3">
        <w:t>;</w:t>
      </w:r>
    </w:p>
    <w:p w14:paraId="628A9DA8" w14:textId="77777777" w:rsidR="00C202BB" w:rsidRPr="00C54EA3" w:rsidRDefault="00C202BB" w:rsidP="00C54EA3">
      <w:pPr>
        <w:numPr>
          <w:ilvl w:val="0"/>
          <w:numId w:val="25"/>
        </w:numPr>
        <w:ind w:left="567" w:hanging="567"/>
        <w:jc w:val="both"/>
      </w:pPr>
      <w:r w:rsidRPr="00C54EA3">
        <w:t>Development of community support services in employment (counselling and vocational eval</w:t>
      </w:r>
      <w:r w:rsidR="00A133EB" w:rsidRPr="00C54EA3">
        <w:t>uation, support for employment);</w:t>
      </w:r>
    </w:p>
    <w:p w14:paraId="7ACF2958" w14:textId="77777777" w:rsidR="00C202BB" w:rsidRPr="00C54EA3" w:rsidRDefault="00C202BB" w:rsidP="00C54EA3">
      <w:pPr>
        <w:numPr>
          <w:ilvl w:val="0"/>
          <w:numId w:val="25"/>
        </w:numPr>
        <w:ind w:left="567" w:hanging="567"/>
        <w:jc w:val="both"/>
      </w:pPr>
      <w:r w:rsidRPr="00C54EA3">
        <w:t>Providing integrated services for transition from residential to community base</w:t>
      </w:r>
      <w:r w:rsidR="00A133EB" w:rsidRPr="00C54EA3">
        <w:t>d services;</w:t>
      </w:r>
    </w:p>
    <w:p w14:paraId="787203B6" w14:textId="77777777" w:rsidR="00C202BB" w:rsidRPr="00C54EA3" w:rsidRDefault="00C202BB" w:rsidP="00C54EA3">
      <w:pPr>
        <w:numPr>
          <w:ilvl w:val="0"/>
          <w:numId w:val="25"/>
        </w:numPr>
        <w:ind w:left="567" w:hanging="567"/>
        <w:jc w:val="both"/>
      </w:pPr>
      <w:r w:rsidRPr="00C54EA3">
        <w:t>Training perso</w:t>
      </w:r>
      <w:r w:rsidR="00A133EB" w:rsidRPr="00C54EA3">
        <w:t>nnel for deinstitutionalization.</w:t>
      </w:r>
    </w:p>
    <w:p w14:paraId="490548F0" w14:textId="77777777" w:rsidR="00C202BB" w:rsidRPr="00C54EA3" w:rsidRDefault="00C202BB" w:rsidP="00C54EA3">
      <w:pPr>
        <w:jc w:val="both"/>
      </w:pPr>
    </w:p>
    <w:p w14:paraId="6ACC07B6" w14:textId="77777777" w:rsidR="00C202BB" w:rsidRPr="00C54EA3" w:rsidRDefault="00C202BB" w:rsidP="00C54EA3">
      <w:pPr>
        <w:jc w:val="both"/>
      </w:pPr>
      <w:proofErr w:type="gramStart"/>
      <w:r w:rsidRPr="00C54EA3">
        <w:t>SO</w:t>
      </w:r>
      <w:proofErr w:type="gramEnd"/>
      <w:r w:rsidRPr="00C54EA3">
        <w:t xml:space="preserve"> 3:</w:t>
      </w:r>
    </w:p>
    <w:p w14:paraId="3050B9DE" w14:textId="77777777" w:rsidR="00A133EB" w:rsidRPr="00C54EA3" w:rsidRDefault="00A133EB" w:rsidP="00C54EA3">
      <w:pPr>
        <w:jc w:val="both"/>
      </w:pPr>
    </w:p>
    <w:p w14:paraId="23F75117" w14:textId="77777777" w:rsidR="00C202BB" w:rsidRPr="00C54EA3" w:rsidRDefault="00C202BB" w:rsidP="00C54EA3">
      <w:pPr>
        <w:numPr>
          <w:ilvl w:val="0"/>
          <w:numId w:val="25"/>
        </w:numPr>
        <w:ind w:left="567" w:hanging="567"/>
        <w:jc w:val="both"/>
      </w:pPr>
      <w:r w:rsidRPr="00C54EA3">
        <w:t>Information campaign regarding the qualifications, merits and abilities of persons with disabilities</w:t>
      </w:r>
      <w:r w:rsidR="00A133EB" w:rsidRPr="00C54EA3">
        <w:t>;</w:t>
      </w:r>
    </w:p>
    <w:p w14:paraId="61EEB838" w14:textId="77777777" w:rsidR="00C202BB" w:rsidRPr="00C54EA3" w:rsidRDefault="00C202BB" w:rsidP="00C54EA3">
      <w:pPr>
        <w:numPr>
          <w:ilvl w:val="0"/>
          <w:numId w:val="25"/>
        </w:numPr>
        <w:ind w:left="567" w:hanging="567"/>
        <w:jc w:val="both"/>
      </w:pPr>
      <w:r w:rsidRPr="00C54EA3">
        <w:t>Promoting alternatives for employment, social econom</w:t>
      </w:r>
      <w:r w:rsidR="00A133EB" w:rsidRPr="00C54EA3">
        <w:t>y, best practices in employment;</w:t>
      </w:r>
    </w:p>
    <w:p w14:paraId="1E1E2685" w14:textId="77777777" w:rsidR="00C202BB" w:rsidRPr="00C54EA3" w:rsidRDefault="00C202BB" w:rsidP="00C54EA3">
      <w:pPr>
        <w:numPr>
          <w:ilvl w:val="0"/>
          <w:numId w:val="25"/>
        </w:numPr>
        <w:ind w:left="567" w:hanging="567"/>
        <w:jc w:val="both"/>
      </w:pPr>
      <w:r w:rsidRPr="00C54EA3">
        <w:t xml:space="preserve">Consultations with DPOs, employers and other entities interested in employment of </w:t>
      </w:r>
      <w:proofErr w:type="spellStart"/>
      <w:r w:rsidRPr="00C54EA3">
        <w:t>PwD</w:t>
      </w:r>
      <w:proofErr w:type="spellEnd"/>
      <w:r w:rsidR="00A133EB" w:rsidRPr="00C54EA3">
        <w:t>;</w:t>
      </w:r>
    </w:p>
    <w:p w14:paraId="05B87E8F" w14:textId="77777777" w:rsidR="00C202BB" w:rsidRPr="00C54EA3" w:rsidRDefault="009E4D14" w:rsidP="00C54EA3">
      <w:pPr>
        <w:numPr>
          <w:ilvl w:val="0"/>
          <w:numId w:val="25"/>
        </w:numPr>
        <w:ind w:left="567" w:hanging="567"/>
        <w:jc w:val="both"/>
      </w:pPr>
      <w:r w:rsidRPr="00C54EA3">
        <w:t>Strengthening</w:t>
      </w:r>
      <w:r w:rsidR="00C202BB" w:rsidRPr="00C54EA3">
        <w:t xml:space="preserve"> cooperation with international organizations</w:t>
      </w:r>
      <w:r w:rsidR="00A133EB" w:rsidRPr="00C54EA3">
        <w:t>.</w:t>
      </w:r>
    </w:p>
    <w:p w14:paraId="11DBD6F2" w14:textId="77777777" w:rsidR="00C202BB" w:rsidRPr="00C54EA3" w:rsidRDefault="00C202BB" w:rsidP="00C54EA3">
      <w:pPr>
        <w:jc w:val="both"/>
      </w:pPr>
    </w:p>
    <w:p w14:paraId="39D1AEB9" w14:textId="77777777" w:rsidR="00C202BB" w:rsidRPr="00C54EA3" w:rsidRDefault="00C202BB" w:rsidP="00C54EA3">
      <w:pPr>
        <w:jc w:val="both"/>
      </w:pPr>
      <w:proofErr w:type="gramStart"/>
      <w:r w:rsidRPr="00C54EA3">
        <w:t>SO</w:t>
      </w:r>
      <w:proofErr w:type="gramEnd"/>
      <w:r w:rsidRPr="00C54EA3">
        <w:t xml:space="preserve"> 4:</w:t>
      </w:r>
    </w:p>
    <w:p w14:paraId="3C28BA83" w14:textId="77777777" w:rsidR="00A133EB" w:rsidRPr="00C54EA3" w:rsidRDefault="00A133EB" w:rsidP="00C54EA3">
      <w:pPr>
        <w:jc w:val="both"/>
      </w:pPr>
    </w:p>
    <w:p w14:paraId="0187FC20" w14:textId="77777777" w:rsidR="00C202BB" w:rsidRPr="00C54EA3" w:rsidRDefault="00C202BB" w:rsidP="00C54EA3">
      <w:pPr>
        <w:numPr>
          <w:ilvl w:val="0"/>
          <w:numId w:val="25"/>
        </w:numPr>
        <w:ind w:left="567" w:hanging="567"/>
        <w:jc w:val="both"/>
      </w:pPr>
      <w:r w:rsidRPr="00C54EA3">
        <w:t xml:space="preserve">Elaborating the </w:t>
      </w:r>
      <w:r w:rsidRPr="00C54EA3">
        <w:rPr>
          <w:i/>
        </w:rPr>
        <w:t>National Plan for Work and Independent Living for 2016 – 2020</w:t>
      </w:r>
      <w:r w:rsidR="00A133EB" w:rsidRPr="00C54EA3">
        <w:rPr>
          <w:i/>
        </w:rPr>
        <w:t>;</w:t>
      </w:r>
    </w:p>
    <w:p w14:paraId="58E00482" w14:textId="77777777" w:rsidR="00D40D1C" w:rsidRPr="00C54EA3" w:rsidRDefault="00C202BB" w:rsidP="00C54EA3">
      <w:pPr>
        <w:pStyle w:val="ListParagraph"/>
        <w:numPr>
          <w:ilvl w:val="0"/>
          <w:numId w:val="25"/>
        </w:numPr>
        <w:ind w:left="567" w:hanging="567"/>
        <w:jc w:val="both"/>
        <w:rPr>
          <w:noProof/>
          <w:lang w:eastAsia="ro-RO"/>
        </w:rPr>
      </w:pPr>
      <w:r w:rsidRPr="00C54EA3">
        <w:t>Monitoring the implementation of the Plan</w:t>
      </w:r>
      <w:r w:rsidR="00A133EB" w:rsidRPr="00C54EA3">
        <w:t>.</w:t>
      </w:r>
      <w:r w:rsidRPr="00C54EA3">
        <w:t xml:space="preserve"> </w:t>
      </w:r>
    </w:p>
    <w:p w14:paraId="2519C180" w14:textId="77777777" w:rsidR="004F1064" w:rsidRPr="00C54EA3" w:rsidRDefault="004F1064" w:rsidP="00C54EA3">
      <w:pPr>
        <w:jc w:val="both"/>
      </w:pPr>
    </w:p>
    <w:p w14:paraId="68211B5F" w14:textId="77777777" w:rsidR="0010423F" w:rsidRPr="00C54EA3" w:rsidRDefault="0010423F" w:rsidP="00C54EA3">
      <w:pPr>
        <w:pStyle w:val="Heading2"/>
        <w:jc w:val="both"/>
        <w:rPr>
          <w:szCs w:val="24"/>
        </w:rPr>
      </w:pPr>
      <w:bookmarkStart w:id="20" w:name="_Toc508203264"/>
      <w:r w:rsidRPr="00C54EA3">
        <w:rPr>
          <w:szCs w:val="24"/>
        </w:rPr>
        <w:t>Education</w:t>
      </w:r>
      <w:bookmarkEnd w:id="20"/>
    </w:p>
    <w:p w14:paraId="5923FD7A" w14:textId="77777777" w:rsidR="0010423F" w:rsidRPr="00C54EA3" w:rsidRDefault="0010423F" w:rsidP="00C54EA3">
      <w:pPr>
        <w:jc w:val="both"/>
      </w:pPr>
    </w:p>
    <w:p w14:paraId="54C015B9" w14:textId="72053B34" w:rsidR="0024038D" w:rsidRPr="00C54EA3" w:rsidRDefault="00765C5D" w:rsidP="00C54EA3">
      <w:pPr>
        <w:jc w:val="both"/>
        <w:rPr>
          <w:lang w:eastAsia="ro-RO"/>
        </w:rPr>
      </w:pPr>
      <w:r w:rsidRPr="00C54EA3">
        <w:t>The situation reported in 2016 NRP - early school leaving high rate, limited availability and access of early childhood education and care services, limited participation in lifelong learning, quality and labour market relevance of higher education inadequate, tertiary attainment low rate - seemed to have improves according to the 2017 NRP, as two ministerial orders aimed at approving the Methodology on the integrated assessment and intervention to enrolment of children with disabilities by the degree of disability, and the Framework protocol for collaboration to implement an integrated approach to community services needed to prevent social exclusion and combating poverty. It has also been developed and adopted the Methodology for providing necessary support for students with learning difficulties (Methodology approved by ministerial order in January 2017), governing appropriate assessment procedures to identify students' learning disorders and the type of intervention needed.</w:t>
      </w:r>
    </w:p>
    <w:p w14:paraId="0639E7A7" w14:textId="77777777" w:rsidR="009A7DE4" w:rsidRPr="00C54EA3" w:rsidRDefault="009A7DE4" w:rsidP="00C54EA3">
      <w:pPr>
        <w:jc w:val="both"/>
      </w:pPr>
    </w:p>
    <w:p w14:paraId="7678A7FD" w14:textId="77777777" w:rsidR="00265200" w:rsidRPr="00C54EA3" w:rsidRDefault="00F66875" w:rsidP="00C54EA3">
      <w:pPr>
        <w:jc w:val="both"/>
      </w:pPr>
      <w:r w:rsidRPr="00C54EA3">
        <w:t xml:space="preserve">In this context, </w:t>
      </w:r>
      <w:r w:rsidR="00765C5D" w:rsidRPr="00C54EA3">
        <w:t xml:space="preserve">we mention that the </w:t>
      </w:r>
      <w:r w:rsidRPr="00C54EA3">
        <w:t xml:space="preserve">Ministry of European Funds launched to </w:t>
      </w:r>
      <w:r w:rsidR="00E6426E" w:rsidRPr="00C54EA3">
        <w:t xml:space="preserve">new </w:t>
      </w:r>
      <w:r w:rsidRPr="00C54EA3">
        <w:t>two programs</w:t>
      </w:r>
      <w:r w:rsidR="00E6426E" w:rsidRPr="00C54EA3">
        <w:t xml:space="preserve"> in the summer of 2016</w:t>
      </w:r>
      <w:r w:rsidRPr="00C54EA3">
        <w:t xml:space="preserve"> – „School for all” and „Motivated Teachers in Disadvantaged School”</w:t>
      </w:r>
      <w:r w:rsidR="00E6426E" w:rsidRPr="00C54EA3">
        <w:t xml:space="preserve">. While first is meant to prevent and reduce early school leaving, the second is on stimulating teacher who work with children in special situations. For both lines of financing, </w:t>
      </w:r>
      <w:r w:rsidR="00265200" w:rsidRPr="00C54EA3">
        <w:t xml:space="preserve">schools with kids at high risk of dropping out (from poor families, disabled, from Roma communities) are eligible applicants. For the first program, the application period starts at the beginning of August, while for the second is September. The amount of money available is 218,2 </w:t>
      </w:r>
      <w:r w:rsidR="00FB2D57" w:rsidRPr="00C54EA3">
        <w:t>million euros, but we are reluctant</w:t>
      </w:r>
      <w:r w:rsidR="00C66F08" w:rsidRPr="00C54EA3">
        <w:t xml:space="preserve"> to</w:t>
      </w:r>
      <w:r w:rsidR="00FB2D57" w:rsidRPr="00C54EA3">
        <w:t xml:space="preserve"> their spending, as </w:t>
      </w:r>
      <w:r w:rsidR="00C66F08" w:rsidRPr="00C54EA3">
        <w:t xml:space="preserve">the time </w:t>
      </w:r>
      <w:r w:rsidR="00FF1633" w:rsidRPr="00C54EA3">
        <w:t xml:space="preserve">for projects sending </w:t>
      </w:r>
      <w:r w:rsidR="00C66F08" w:rsidRPr="00C54EA3">
        <w:t xml:space="preserve">is short </w:t>
      </w:r>
      <w:r w:rsidR="00FF1633" w:rsidRPr="00C54EA3">
        <w:t xml:space="preserve">(2 months) </w:t>
      </w:r>
      <w:r w:rsidR="00C66F08" w:rsidRPr="00C54EA3">
        <w:t xml:space="preserve">and schools start in the middle of September. </w:t>
      </w:r>
    </w:p>
    <w:p w14:paraId="0DD18934" w14:textId="77777777" w:rsidR="00E6426E" w:rsidRPr="00C54EA3" w:rsidRDefault="00E6426E" w:rsidP="00C54EA3">
      <w:pPr>
        <w:jc w:val="both"/>
      </w:pPr>
    </w:p>
    <w:p w14:paraId="3A893FC5" w14:textId="77777777" w:rsidR="00F66875" w:rsidRPr="00C54EA3" w:rsidRDefault="00265200" w:rsidP="00C54EA3">
      <w:pPr>
        <w:jc w:val="both"/>
      </w:pPr>
      <w:r w:rsidRPr="00C54EA3">
        <w:t>Also, we must mention that i</w:t>
      </w:r>
      <w:r w:rsidR="009A7DE4" w:rsidRPr="00C54EA3">
        <w:t>n the last year</w:t>
      </w:r>
      <w:r w:rsidRPr="00C54EA3">
        <w:t>, another</w:t>
      </w:r>
      <w:r w:rsidR="009A7DE4" w:rsidRPr="00C54EA3">
        <w:t xml:space="preserve"> important thing that happened in the education field consisted in the adoption of two national strategies: a strategy for reducing early school leaving and a strategy on tertiary education. While the last aims the improvement of accessibility of higher education</w:t>
      </w:r>
      <w:r w:rsidR="001728A1" w:rsidRPr="00C54EA3">
        <w:t xml:space="preserve"> (</w:t>
      </w:r>
      <w:r w:rsidR="001728A1" w:rsidRPr="00C54EA3">
        <w:rPr>
          <w:color w:val="212121"/>
          <w:shd w:val="clear" w:color="auto" w:fill="FFFFFF"/>
        </w:rPr>
        <w:t xml:space="preserve">curricula, textbooks and educational technologies to be designed in accordance with all types and degrees of disabilities and/or special needs) </w:t>
      </w:r>
      <w:r w:rsidR="009A7DE4" w:rsidRPr="00C54EA3">
        <w:t xml:space="preserve">for disadvantaged groups and the promotion of </w:t>
      </w:r>
      <w:r w:rsidR="009A7DE4" w:rsidRPr="00C54EA3">
        <w:lastRenderedPageBreak/>
        <w:t xml:space="preserve">inclusive education, </w:t>
      </w:r>
      <w:r w:rsidR="001728A1" w:rsidRPr="00C54EA3">
        <w:t xml:space="preserve">only </w:t>
      </w:r>
      <w:r w:rsidR="00CD04EB" w:rsidRPr="00C54EA3">
        <w:t xml:space="preserve">fugitive remember </w:t>
      </w:r>
      <w:r w:rsidR="001728A1" w:rsidRPr="00C54EA3">
        <w:t>that Romania has little to none counsellors and psychologists to support children with SEN. To exemplify, the 2016 NRP mentions the construction of four crèches/</w:t>
      </w:r>
      <w:r w:rsidR="00655FAE" w:rsidRPr="00C54EA3">
        <w:t xml:space="preserve">social services for </w:t>
      </w:r>
      <w:r w:rsidR="001728A1" w:rsidRPr="00C54EA3">
        <w:t xml:space="preserve">disabled children (aged </w:t>
      </w:r>
      <w:r w:rsidR="00655FAE" w:rsidRPr="00C54EA3">
        <w:t>0-7)</w:t>
      </w:r>
      <w:r w:rsidR="00CD04EB" w:rsidRPr="00C54EA3">
        <w:t xml:space="preserve">, but gives no information on the number of children cared for or what do they do and learn there. </w:t>
      </w:r>
      <w:proofErr w:type="gramStart"/>
      <w:r w:rsidR="0019033F" w:rsidRPr="00C54EA3">
        <w:t>As long as</w:t>
      </w:r>
      <w:proofErr w:type="gramEnd"/>
      <w:r w:rsidR="0019033F" w:rsidRPr="00C54EA3">
        <w:t xml:space="preserve"> we cannot say whether the facilities have a good or a bad impact for people with disabilities, we must mention that one of </w:t>
      </w:r>
      <w:r w:rsidR="00F66875" w:rsidRPr="00C54EA3">
        <w:t>main principles of the National Strategy for People with Disabilities is inclusive education, designed to identify, reduce and eliminate the barriers to learning, both in school and outside them.</w:t>
      </w:r>
      <w:r w:rsidR="00FD0678" w:rsidRPr="00C54EA3">
        <w:t xml:space="preserve"> </w:t>
      </w:r>
    </w:p>
    <w:p w14:paraId="3E604507" w14:textId="77777777" w:rsidR="004F1064" w:rsidRPr="00C54EA3" w:rsidRDefault="004F1064" w:rsidP="00C54EA3">
      <w:pPr>
        <w:jc w:val="both"/>
      </w:pPr>
    </w:p>
    <w:p w14:paraId="0E44FCEE" w14:textId="77777777" w:rsidR="002F266E" w:rsidRPr="00C54EA3" w:rsidRDefault="002F266E" w:rsidP="00C54EA3">
      <w:pPr>
        <w:jc w:val="both"/>
      </w:pPr>
      <w:r w:rsidRPr="00C54EA3">
        <w:t>The Romanian legislation in the education field regulates the situation and rights of persons with disabilities to education in all stages, from primary education to life-long le</w:t>
      </w:r>
      <w:r w:rsidR="009F5988" w:rsidRPr="00C54EA3">
        <w:t xml:space="preserve">arning without discrimination. </w:t>
      </w:r>
      <w:r w:rsidRPr="00C54EA3">
        <w:t>However, the legislative framework still has insufficient provisions regarding the education of children, young people and adults with disabilities. The terminology used in different pieces of legislation points to a series of confusions and even</w:t>
      </w:r>
      <w:r w:rsidR="005411DA" w:rsidRPr="00C54EA3">
        <w:t xml:space="preserve"> errors: concepts are used in a</w:t>
      </w:r>
      <w:r w:rsidRPr="00C54EA3">
        <w:t xml:space="preserve"> non-unitary manner or even inflicting with international norms. Definition of the </w:t>
      </w:r>
      <w:r w:rsidRPr="00C54EA3">
        <w:rPr>
          <w:i/>
        </w:rPr>
        <w:t xml:space="preserve">inclusive education </w:t>
      </w:r>
      <w:r w:rsidRPr="00C54EA3">
        <w:t xml:space="preserve">concept represents and immediate priority. </w:t>
      </w:r>
    </w:p>
    <w:p w14:paraId="07A7F2B5" w14:textId="77777777" w:rsidR="002F266E" w:rsidRPr="00C54EA3" w:rsidRDefault="002F266E" w:rsidP="00C54EA3">
      <w:pPr>
        <w:jc w:val="both"/>
      </w:pPr>
    </w:p>
    <w:p w14:paraId="5116BEBA" w14:textId="77777777" w:rsidR="004F1064" w:rsidRPr="00C54EA3" w:rsidRDefault="002F266E" w:rsidP="00C54EA3">
      <w:pPr>
        <w:jc w:val="both"/>
      </w:pPr>
      <w:r w:rsidRPr="00C54EA3">
        <w:t xml:space="preserve">The main problem of the educational policies, respectively the Law on national education no. 1/2011 resides in the absence of a coherent approach of inclusive education for all children with </w:t>
      </w:r>
      <w:r w:rsidRPr="00C54EA3">
        <w:rPr>
          <w:i/>
        </w:rPr>
        <w:t xml:space="preserve">special educational requirements, </w:t>
      </w:r>
      <w:r w:rsidRPr="00C54EA3">
        <w:t>which leads to difficulties regarding the role and importance of support service, of reasonable accommo</w:t>
      </w:r>
      <w:r w:rsidR="00A133EB" w:rsidRPr="00C54EA3">
        <w:t>dation and access to education.</w:t>
      </w:r>
    </w:p>
    <w:p w14:paraId="709FCF84" w14:textId="77777777" w:rsidR="00A133EB" w:rsidRPr="00C54EA3" w:rsidRDefault="00A133EB" w:rsidP="00C54EA3">
      <w:pPr>
        <w:jc w:val="both"/>
      </w:pPr>
    </w:p>
    <w:p w14:paraId="3DE8F503" w14:textId="77777777" w:rsidR="00C202BB" w:rsidRPr="00C54EA3" w:rsidRDefault="00C202BB" w:rsidP="00C54EA3">
      <w:pPr>
        <w:jc w:val="both"/>
      </w:pPr>
      <w:r w:rsidRPr="00C54EA3">
        <w:t>Specific objectives included in the National Strategy are:</w:t>
      </w:r>
    </w:p>
    <w:p w14:paraId="2D0C49E2" w14:textId="77777777" w:rsidR="00C202BB" w:rsidRPr="00C54EA3" w:rsidRDefault="00C202BB" w:rsidP="00C54EA3">
      <w:pPr>
        <w:jc w:val="both"/>
      </w:pPr>
    </w:p>
    <w:p w14:paraId="4B7B3C1E" w14:textId="77777777" w:rsidR="00C202BB" w:rsidRPr="00C54EA3" w:rsidRDefault="00C202BB" w:rsidP="00C54EA3">
      <w:pPr>
        <w:numPr>
          <w:ilvl w:val="0"/>
          <w:numId w:val="27"/>
        </w:numPr>
        <w:ind w:left="567" w:hanging="567"/>
        <w:jc w:val="both"/>
      </w:pPr>
      <w:r w:rsidRPr="00C54EA3">
        <w:t>Ensuring access of people with disabilities to education and training in adapted formats, in communities;</w:t>
      </w:r>
    </w:p>
    <w:p w14:paraId="51BE1CA5" w14:textId="77777777" w:rsidR="00C202BB" w:rsidRPr="00C54EA3" w:rsidRDefault="00C202BB" w:rsidP="00C54EA3">
      <w:pPr>
        <w:numPr>
          <w:ilvl w:val="0"/>
          <w:numId w:val="27"/>
        </w:numPr>
        <w:ind w:left="567" w:hanging="567"/>
        <w:jc w:val="both"/>
      </w:pPr>
      <w:r w:rsidRPr="00C54EA3">
        <w:t xml:space="preserve">Development of competences of persons with disabilities for full and equal participation in education and life-ling learning, as members of the communities they belong to </w:t>
      </w:r>
    </w:p>
    <w:p w14:paraId="055DC64E" w14:textId="77777777" w:rsidR="00C202BB" w:rsidRPr="00C54EA3" w:rsidRDefault="00C202BB" w:rsidP="00C54EA3">
      <w:pPr>
        <w:numPr>
          <w:ilvl w:val="0"/>
          <w:numId w:val="27"/>
        </w:numPr>
        <w:ind w:left="567" w:hanging="567"/>
        <w:jc w:val="both"/>
      </w:pPr>
      <w:r w:rsidRPr="00C54EA3">
        <w:t xml:space="preserve">Ensuring quality educational and training services, adapted for people with disabilities and relevant from an inclusion perspective </w:t>
      </w:r>
    </w:p>
    <w:p w14:paraId="798D4213" w14:textId="77777777" w:rsidR="00C202BB" w:rsidRPr="00C54EA3" w:rsidRDefault="00C202BB" w:rsidP="00C54EA3">
      <w:pPr>
        <w:numPr>
          <w:ilvl w:val="0"/>
          <w:numId w:val="27"/>
        </w:numPr>
        <w:ind w:left="567" w:hanging="567"/>
        <w:jc w:val="both"/>
      </w:pPr>
      <w:r w:rsidRPr="00C54EA3">
        <w:t xml:space="preserve">Increasing the level of awareness of families, schools, communities and the society </w:t>
      </w:r>
      <w:proofErr w:type="gramStart"/>
      <w:r w:rsidRPr="00C54EA3">
        <w:t>as a whole on</w:t>
      </w:r>
      <w:proofErr w:type="gramEnd"/>
      <w:r w:rsidRPr="00C54EA3">
        <w:t xml:space="preserve"> the importance of respecting the right to education and training for all persons with disabilities </w:t>
      </w:r>
    </w:p>
    <w:p w14:paraId="3B2CC565" w14:textId="77777777" w:rsidR="0010423F" w:rsidRPr="00C54EA3" w:rsidRDefault="0010423F" w:rsidP="00C54EA3">
      <w:pPr>
        <w:jc w:val="both"/>
      </w:pPr>
    </w:p>
    <w:p w14:paraId="3F9D7C26" w14:textId="77777777" w:rsidR="0010423F" w:rsidRPr="00C54EA3" w:rsidRDefault="0010423F" w:rsidP="00C54EA3">
      <w:pPr>
        <w:pStyle w:val="Heading2"/>
        <w:jc w:val="both"/>
        <w:rPr>
          <w:szCs w:val="24"/>
        </w:rPr>
      </w:pPr>
      <w:bookmarkStart w:id="21" w:name="_Toc508203265"/>
      <w:r w:rsidRPr="00C54EA3">
        <w:rPr>
          <w:szCs w:val="24"/>
        </w:rPr>
        <w:t>Poverty and social inclusion</w:t>
      </w:r>
      <w:bookmarkEnd w:id="21"/>
    </w:p>
    <w:p w14:paraId="17B08A16" w14:textId="77777777" w:rsidR="0010423F" w:rsidRPr="00C54EA3" w:rsidRDefault="0010423F" w:rsidP="00C54EA3">
      <w:pPr>
        <w:jc w:val="both"/>
      </w:pPr>
    </w:p>
    <w:p w14:paraId="6AAE1E05" w14:textId="77777777" w:rsidR="004775B5" w:rsidRPr="00C54EA3" w:rsidRDefault="004775B5" w:rsidP="00C54EA3">
      <w:pPr>
        <w:jc w:val="both"/>
      </w:pPr>
      <w:r w:rsidRPr="00C54EA3">
        <w:t xml:space="preserve">Assistance for persons with disabilities in Romania is still </w:t>
      </w:r>
      <w:r w:rsidR="009E4D14" w:rsidRPr="00C54EA3">
        <w:t>centred</w:t>
      </w:r>
      <w:r w:rsidRPr="00C54EA3">
        <w:t xml:space="preserve"> on </w:t>
      </w:r>
      <w:r w:rsidRPr="00C54EA3">
        <w:rPr>
          <w:i/>
        </w:rPr>
        <w:t xml:space="preserve">passive </w:t>
      </w:r>
      <w:r w:rsidRPr="00C54EA3">
        <w:t>social benefits. The key bas</w:t>
      </w:r>
      <w:r w:rsidR="00C14418" w:rsidRPr="00C54EA3">
        <w:t>is</w:t>
      </w:r>
      <w:r w:rsidRPr="00C54EA3">
        <w:t xml:space="preserve"> for receiving social benefits is represented by the </w:t>
      </w:r>
      <w:r w:rsidRPr="00C54EA3">
        <w:rPr>
          <w:i/>
        </w:rPr>
        <w:t xml:space="preserve">degree of disability </w:t>
      </w:r>
      <w:r w:rsidRPr="00C54EA3">
        <w:t xml:space="preserve">(handicap) – </w:t>
      </w:r>
      <w:r w:rsidRPr="00C54EA3">
        <w:rPr>
          <w:i/>
        </w:rPr>
        <w:t xml:space="preserve">severe, accentuated, medium </w:t>
      </w:r>
      <w:r w:rsidRPr="00C54EA3">
        <w:t xml:space="preserve">and </w:t>
      </w:r>
      <w:r w:rsidRPr="00C54EA3">
        <w:rPr>
          <w:i/>
        </w:rPr>
        <w:t xml:space="preserve">mild. </w:t>
      </w:r>
      <w:r w:rsidRPr="00C54EA3">
        <w:t xml:space="preserve">Persons with </w:t>
      </w:r>
      <w:r w:rsidRPr="00C54EA3">
        <w:rPr>
          <w:i/>
        </w:rPr>
        <w:t xml:space="preserve">severe </w:t>
      </w:r>
      <w:r w:rsidRPr="00C54EA3">
        <w:t xml:space="preserve">and </w:t>
      </w:r>
      <w:r w:rsidRPr="00C54EA3">
        <w:rPr>
          <w:i/>
        </w:rPr>
        <w:t xml:space="preserve">accentuated </w:t>
      </w:r>
      <w:r w:rsidRPr="00C54EA3">
        <w:t xml:space="preserve">disability benefit from monthly indemnity and </w:t>
      </w:r>
      <w:r w:rsidR="00C14418" w:rsidRPr="00C54EA3">
        <w:t xml:space="preserve">a </w:t>
      </w:r>
      <w:r w:rsidRPr="00C54EA3">
        <w:t xml:space="preserve">personal complementary budget, irrespective of other </w:t>
      </w:r>
      <w:r w:rsidR="00C14418" w:rsidRPr="00C54EA3">
        <w:t>income</w:t>
      </w:r>
      <w:r w:rsidRPr="00C54EA3">
        <w:t xml:space="preserve"> of the person. For </w:t>
      </w:r>
      <w:r w:rsidRPr="00C54EA3">
        <w:rPr>
          <w:i/>
        </w:rPr>
        <w:t xml:space="preserve">medium </w:t>
      </w:r>
      <w:r w:rsidRPr="00C54EA3">
        <w:t>disability, the person receives also an indemnity (</w:t>
      </w:r>
      <w:r w:rsidR="00C14418" w:rsidRPr="00C54EA3">
        <w:t>various amounts</w:t>
      </w:r>
      <w:r w:rsidRPr="00C54EA3">
        <w:t xml:space="preserve">) a personal </w:t>
      </w:r>
      <w:r w:rsidRPr="00C54EA3">
        <w:lastRenderedPageBreak/>
        <w:t xml:space="preserve">complementary budget, while persons with </w:t>
      </w:r>
      <w:r w:rsidRPr="00C54EA3">
        <w:rPr>
          <w:i/>
        </w:rPr>
        <w:t xml:space="preserve">mild </w:t>
      </w:r>
      <w:r w:rsidRPr="00C54EA3">
        <w:t xml:space="preserve">disabilities do not receive direct social benefits. </w:t>
      </w:r>
    </w:p>
    <w:p w14:paraId="34C29037" w14:textId="77777777" w:rsidR="004775B5" w:rsidRPr="00C54EA3" w:rsidRDefault="004775B5" w:rsidP="00C54EA3">
      <w:pPr>
        <w:jc w:val="both"/>
        <w:rPr>
          <w:lang w:eastAsia="en-GB"/>
        </w:rPr>
      </w:pPr>
    </w:p>
    <w:p w14:paraId="27236520" w14:textId="77777777" w:rsidR="004775B5" w:rsidRPr="00C54EA3" w:rsidRDefault="004775B5" w:rsidP="00C54EA3">
      <w:pPr>
        <w:jc w:val="both"/>
        <w:rPr>
          <w:lang w:eastAsia="en-GB"/>
        </w:rPr>
      </w:pPr>
      <w:r w:rsidRPr="00C54EA3">
        <w:rPr>
          <w:lang w:eastAsia="en-GB"/>
        </w:rPr>
        <w:t xml:space="preserve">The indemnity and the personal complementary budget is </w:t>
      </w:r>
      <w:r w:rsidR="00C14418" w:rsidRPr="00C54EA3">
        <w:rPr>
          <w:lang w:eastAsia="en-GB"/>
        </w:rPr>
        <w:t>added to</w:t>
      </w:r>
      <w:r w:rsidRPr="00C54EA3">
        <w:rPr>
          <w:lang w:eastAsia="en-GB"/>
        </w:rPr>
        <w:t xml:space="preserve"> the salary and/or pension. But when the person with disability has</w:t>
      </w:r>
      <w:r w:rsidR="00C14418" w:rsidRPr="00C54EA3">
        <w:rPr>
          <w:lang w:eastAsia="en-GB"/>
        </w:rPr>
        <w:t xml:space="preserve"> only</w:t>
      </w:r>
      <w:r w:rsidRPr="00C54EA3">
        <w:rPr>
          <w:lang w:eastAsia="en-GB"/>
        </w:rPr>
        <w:t xml:space="preserve"> these social benefits</w:t>
      </w:r>
      <w:r w:rsidR="00C14418" w:rsidRPr="00C54EA3">
        <w:rPr>
          <w:lang w:eastAsia="en-GB"/>
        </w:rPr>
        <w:t xml:space="preserve"> for income</w:t>
      </w:r>
      <w:r w:rsidRPr="00C54EA3">
        <w:rPr>
          <w:lang w:eastAsia="en-GB"/>
        </w:rPr>
        <w:t xml:space="preserve">, this prevents him/her from accessing the </w:t>
      </w:r>
      <w:r w:rsidRPr="00C54EA3">
        <w:rPr>
          <w:i/>
          <w:lang w:eastAsia="en-GB"/>
        </w:rPr>
        <w:t xml:space="preserve">minimum insertion wage </w:t>
      </w:r>
      <w:r w:rsidRPr="00C54EA3">
        <w:rPr>
          <w:lang w:eastAsia="en-GB"/>
        </w:rPr>
        <w:t xml:space="preserve">(which is </w:t>
      </w:r>
      <w:r w:rsidR="00C14418" w:rsidRPr="00C54EA3">
        <w:rPr>
          <w:lang w:eastAsia="en-GB"/>
        </w:rPr>
        <w:t xml:space="preserve">a </w:t>
      </w:r>
      <w:r w:rsidRPr="00C54EA3">
        <w:rPr>
          <w:lang w:eastAsia="en-GB"/>
        </w:rPr>
        <w:t xml:space="preserve">social benefit awarded to all people living in poverty), thus pointing to the fact that the </w:t>
      </w:r>
      <w:r w:rsidRPr="00C54EA3">
        <w:rPr>
          <w:i/>
          <w:lang w:eastAsia="en-GB"/>
        </w:rPr>
        <w:t xml:space="preserve">social benefits </w:t>
      </w:r>
      <w:r w:rsidRPr="00C54EA3">
        <w:rPr>
          <w:lang w:eastAsia="en-GB"/>
        </w:rPr>
        <w:t xml:space="preserve">that people with disabilities receive in Romania are not meant to cover expenditures related to </w:t>
      </w:r>
      <w:r w:rsidRPr="00C54EA3">
        <w:rPr>
          <w:i/>
          <w:lang w:eastAsia="en-GB"/>
        </w:rPr>
        <w:t xml:space="preserve">disability, </w:t>
      </w:r>
      <w:r w:rsidRPr="00C54EA3">
        <w:rPr>
          <w:lang w:eastAsia="en-GB"/>
        </w:rPr>
        <w:t xml:space="preserve">in the sense of Article 28 of CRPD. </w:t>
      </w:r>
    </w:p>
    <w:p w14:paraId="13EB399F" w14:textId="77777777" w:rsidR="00090B26" w:rsidRPr="00C54EA3" w:rsidRDefault="00090B26" w:rsidP="00C54EA3">
      <w:pPr>
        <w:jc w:val="both"/>
        <w:rPr>
          <w:lang w:eastAsia="en-GB"/>
        </w:rPr>
      </w:pPr>
    </w:p>
    <w:p w14:paraId="420E36B1" w14:textId="4DBD3C0A" w:rsidR="00F469E9" w:rsidRPr="00C54EA3" w:rsidRDefault="00090B26" w:rsidP="00C54EA3">
      <w:pPr>
        <w:jc w:val="both"/>
        <w:rPr>
          <w:color w:val="212121"/>
          <w:shd w:val="clear" w:color="auto" w:fill="FFFFFF"/>
        </w:rPr>
      </w:pPr>
      <w:r w:rsidRPr="00C54EA3">
        <w:rPr>
          <w:lang w:eastAsia="en-GB"/>
        </w:rPr>
        <w:t xml:space="preserve">What 2016 NRP establishes in the field of social inclusion for people with disability consists in </w:t>
      </w:r>
      <w:r w:rsidRPr="00C54EA3">
        <w:rPr>
          <w:i/>
        </w:rPr>
        <w:t>The Integrated Anti-</w:t>
      </w:r>
      <w:proofErr w:type="gramStart"/>
      <w:r w:rsidRPr="00C54EA3">
        <w:rPr>
          <w:i/>
        </w:rPr>
        <w:t>poverty</w:t>
      </w:r>
      <w:proofErr w:type="gramEnd"/>
      <w:r w:rsidRPr="00C54EA3">
        <w:rPr>
          <w:i/>
        </w:rPr>
        <w:t xml:space="preserve"> Package</w:t>
      </w:r>
      <w:r w:rsidRPr="00C54EA3">
        <w:t>, a plan of 47 measures organized on a lifecycle basis to provide a "safety net" for the poorest Romanians. The measures cover all age groups (0-65+) and some are cross-cutting (such as the inclusion of disabled).</w:t>
      </w:r>
      <w:r w:rsidR="00266AAD" w:rsidRPr="00C54EA3">
        <w:t xml:space="preserve"> In this regard, the objective of the Package is to increase </w:t>
      </w:r>
      <w:r w:rsidR="00266AAD" w:rsidRPr="00C54EA3">
        <w:rPr>
          <w:color w:val="212121"/>
          <w:shd w:val="clear" w:color="auto" w:fill="FFFFFF"/>
        </w:rPr>
        <w:t>the accessibility of the physical environment, transport, and media communication and means the development of three working tools: the National Accessibility Plan, National Deinstitutionalization Plan and another strategy on preparation for work and life independence</w:t>
      </w:r>
      <w:r w:rsidR="00FD0678" w:rsidRPr="00C54EA3">
        <w:rPr>
          <w:color w:val="212121"/>
          <w:shd w:val="clear" w:color="auto" w:fill="FFFFFF"/>
        </w:rPr>
        <w:t>.</w:t>
      </w:r>
      <w:r w:rsidR="00266AAD" w:rsidRPr="00C54EA3">
        <w:rPr>
          <w:rStyle w:val="FootnoteReference"/>
          <w:color w:val="212121"/>
          <w:shd w:val="clear" w:color="auto" w:fill="FFFFFF"/>
        </w:rPr>
        <w:footnoteReference w:id="41"/>
      </w:r>
      <w:r w:rsidR="00266AAD" w:rsidRPr="00C54EA3">
        <w:rPr>
          <w:color w:val="212121"/>
          <w:shd w:val="clear" w:color="auto" w:fill="FFFFFF"/>
        </w:rPr>
        <w:t xml:space="preserve"> </w:t>
      </w:r>
      <w:r w:rsidR="00266AAD" w:rsidRPr="00C54EA3">
        <w:t>Another social inclusion measure stipulated by 2016 NRP is the establishment of the minimum inclusion income (MII)</w:t>
      </w:r>
      <w:r w:rsidR="00B0293F" w:rsidRPr="00C54EA3">
        <w:t xml:space="preserve">, </w:t>
      </w:r>
      <w:r w:rsidR="00266AAD" w:rsidRPr="00C54EA3">
        <w:t xml:space="preserve">that aims to tackle the risk of social exclusion and ensure the minimum living conditions to the beneficiaries. MII will become the key anti-poverty programme by targeting better the beneficiaries, increasing MII budget as compared to the budgets of the actual social assistance programmes, and introducing a new formula of social assistance benefit that improve the opportunities of MII beneficiaries to enter the labour market. </w:t>
      </w:r>
      <w:r w:rsidR="00F469E9" w:rsidRPr="00C54EA3">
        <w:t>MII will be applied starting 1</w:t>
      </w:r>
      <w:r w:rsidR="00F469E9" w:rsidRPr="00C54EA3">
        <w:rPr>
          <w:vertAlign w:val="superscript"/>
        </w:rPr>
        <w:t>st</w:t>
      </w:r>
      <w:r w:rsidR="00F469E9" w:rsidRPr="00C54EA3">
        <w:t xml:space="preserve"> April 2018 and will support, according to the Ministry of Labour</w:t>
      </w:r>
      <w:r w:rsidR="0003279B" w:rsidRPr="00C54EA3">
        <w:t xml:space="preserve"> and Social Justice</w:t>
      </w:r>
      <w:r w:rsidR="00F469E9" w:rsidRPr="00C54EA3">
        <w:t>, 34</w:t>
      </w:r>
      <w:r w:rsidR="00FD0678" w:rsidRPr="00C54EA3">
        <w:t xml:space="preserve"> </w:t>
      </w:r>
      <w:r w:rsidR="00F469E9" w:rsidRPr="00C54EA3">
        <w:t>% more beneficiaries (</w:t>
      </w:r>
      <w:r w:rsidR="00F469E9" w:rsidRPr="00C54EA3">
        <w:rPr>
          <w:color w:val="212121"/>
          <w:shd w:val="clear" w:color="auto" w:fill="FFFFFF"/>
        </w:rPr>
        <w:t>from 257,000 families and people to 344.600), while the average social wage will increase by 58</w:t>
      </w:r>
      <w:r w:rsidR="00FD0678" w:rsidRPr="00C54EA3">
        <w:rPr>
          <w:color w:val="212121"/>
          <w:shd w:val="clear" w:color="auto" w:fill="FFFFFF"/>
        </w:rPr>
        <w:t xml:space="preserve"> </w:t>
      </w:r>
      <w:r w:rsidR="00F469E9" w:rsidRPr="00C54EA3">
        <w:rPr>
          <w:color w:val="212121"/>
          <w:shd w:val="clear" w:color="auto" w:fill="FFFFFF"/>
        </w:rPr>
        <w:t>% compared to the current.</w:t>
      </w:r>
    </w:p>
    <w:p w14:paraId="36550B67" w14:textId="77777777" w:rsidR="00F469E9" w:rsidRPr="00C54EA3" w:rsidRDefault="00F469E9" w:rsidP="00C54EA3">
      <w:pPr>
        <w:jc w:val="both"/>
        <w:rPr>
          <w:color w:val="212121"/>
          <w:shd w:val="clear" w:color="auto" w:fill="FFFFFF"/>
        </w:rPr>
      </w:pPr>
    </w:p>
    <w:p w14:paraId="77A345DB" w14:textId="4EC69B7B" w:rsidR="004775B5" w:rsidRPr="00C54EA3" w:rsidRDefault="004775B5" w:rsidP="00C54EA3">
      <w:pPr>
        <w:jc w:val="both"/>
        <w:rPr>
          <w:lang w:eastAsia="en-GB"/>
        </w:rPr>
      </w:pPr>
      <w:r w:rsidRPr="00C54EA3">
        <w:rPr>
          <w:lang w:eastAsia="en-GB"/>
        </w:rPr>
        <w:t>Specialized social services for people with disabilities are still very reduced in number and capacity and geograp</w:t>
      </w:r>
      <w:r w:rsidR="00C14418" w:rsidRPr="00C54EA3">
        <w:rPr>
          <w:lang w:eastAsia="en-GB"/>
        </w:rPr>
        <w:t>hy</w:t>
      </w:r>
      <w:r w:rsidRPr="00C54EA3">
        <w:rPr>
          <w:lang w:eastAsia="en-GB"/>
        </w:rPr>
        <w:t xml:space="preserve"> </w:t>
      </w:r>
      <w:r w:rsidR="00C14418" w:rsidRPr="00C54EA3">
        <w:rPr>
          <w:lang w:eastAsia="en-GB"/>
        </w:rPr>
        <w:t xml:space="preserve">is </w:t>
      </w:r>
      <w:r w:rsidRPr="00C54EA3">
        <w:rPr>
          <w:lang w:eastAsia="en-GB"/>
        </w:rPr>
        <w:t xml:space="preserve">unbalanced: in </w:t>
      </w:r>
      <w:r w:rsidR="0003279B" w:rsidRPr="00C54EA3">
        <w:rPr>
          <w:lang w:eastAsia="en-GB"/>
        </w:rPr>
        <w:t>June 2017</w:t>
      </w:r>
      <w:r w:rsidRPr="00C54EA3">
        <w:rPr>
          <w:lang w:eastAsia="en-GB"/>
        </w:rPr>
        <w:t xml:space="preserve">, only </w:t>
      </w:r>
      <w:r w:rsidR="0003279B" w:rsidRPr="00C54EA3">
        <w:rPr>
          <w:lang w:eastAsia="en-GB"/>
        </w:rPr>
        <w:t xml:space="preserve">61 </w:t>
      </w:r>
      <w:r w:rsidRPr="00C54EA3">
        <w:rPr>
          <w:lang w:eastAsia="en-GB"/>
        </w:rPr>
        <w:t xml:space="preserve">non-residential services (day-care) were available to </w:t>
      </w:r>
      <w:r w:rsidR="002A4874" w:rsidRPr="00C54EA3">
        <w:rPr>
          <w:lang w:eastAsia="en-GB"/>
        </w:rPr>
        <w:t>5.935</w:t>
      </w:r>
      <w:r w:rsidRPr="00C54EA3">
        <w:rPr>
          <w:lang w:eastAsia="en-GB"/>
        </w:rPr>
        <w:t xml:space="preserve"> persons with disabilities</w:t>
      </w:r>
      <w:r w:rsidR="00FD0678" w:rsidRPr="00C54EA3">
        <w:rPr>
          <w:lang w:eastAsia="en-GB"/>
        </w:rPr>
        <w:t>,</w:t>
      </w:r>
      <w:r w:rsidR="009E17AB" w:rsidRPr="00C54EA3">
        <w:rPr>
          <w:rStyle w:val="FootnoteReference"/>
          <w:lang w:eastAsia="en-GB"/>
        </w:rPr>
        <w:footnoteReference w:id="42"/>
      </w:r>
      <w:r w:rsidR="009E17AB" w:rsidRPr="00C54EA3">
        <w:rPr>
          <w:lang w:eastAsia="en-GB"/>
        </w:rPr>
        <w:t xml:space="preserve"> compared to </w:t>
      </w:r>
      <w:r w:rsidR="0003279B" w:rsidRPr="00C54EA3">
        <w:rPr>
          <w:lang w:eastAsia="en-GB"/>
        </w:rPr>
        <w:t xml:space="preserve">389 </w:t>
      </w:r>
      <w:r w:rsidR="009E17AB" w:rsidRPr="00C54EA3">
        <w:rPr>
          <w:lang w:eastAsia="en-GB"/>
        </w:rPr>
        <w:t>residential services, accommodating 17.</w:t>
      </w:r>
      <w:r w:rsidR="0003279B" w:rsidRPr="00C54EA3">
        <w:rPr>
          <w:lang w:eastAsia="en-GB"/>
        </w:rPr>
        <w:t xml:space="preserve">969 </w:t>
      </w:r>
      <w:r w:rsidR="009E17AB" w:rsidRPr="00C54EA3">
        <w:rPr>
          <w:lang w:eastAsia="en-GB"/>
        </w:rPr>
        <w:t>people with disabilities</w:t>
      </w:r>
      <w:r w:rsidRPr="00C54EA3">
        <w:rPr>
          <w:lang w:eastAsia="en-GB"/>
        </w:rPr>
        <w:t xml:space="preserve">. </w:t>
      </w:r>
      <w:r w:rsidR="002A4874" w:rsidRPr="00C54EA3">
        <w:rPr>
          <w:lang w:eastAsia="en-GB"/>
        </w:rPr>
        <w:t>It is to be mentioned that although the number of non-residential services raised from 57 to 61 in two years, the number of beneficiaries raised by 269%, from 2.203 to 5.935.</w:t>
      </w:r>
    </w:p>
    <w:p w14:paraId="4DBBE1C9" w14:textId="77777777" w:rsidR="004775B5" w:rsidRPr="00C54EA3" w:rsidRDefault="004775B5" w:rsidP="00C54EA3">
      <w:pPr>
        <w:jc w:val="both"/>
        <w:rPr>
          <w:lang w:eastAsia="en-GB"/>
        </w:rPr>
      </w:pPr>
    </w:p>
    <w:p w14:paraId="3BD1C658" w14:textId="77777777" w:rsidR="00D75F56" w:rsidRPr="00C54EA3" w:rsidRDefault="004775B5" w:rsidP="00C54EA3">
      <w:pPr>
        <w:jc w:val="both"/>
      </w:pPr>
      <w:r w:rsidRPr="00C54EA3">
        <w:rPr>
          <w:lang w:eastAsia="en-GB"/>
        </w:rPr>
        <w:t xml:space="preserve">Thus, the Strategy aims to determine the development of a network of non-residential services for people with disabilities at community level, based on the </w:t>
      </w:r>
      <w:r w:rsidRPr="00C54EA3">
        <w:t xml:space="preserve">evaluation of individual needs, services that are meant to contribute to increasing individual autonomy and prevent exclusion/marginalization.  </w:t>
      </w:r>
    </w:p>
    <w:p w14:paraId="79B2EE24" w14:textId="77777777" w:rsidR="00D75F56" w:rsidRPr="00C54EA3" w:rsidRDefault="00D75F56" w:rsidP="00C54EA3">
      <w:pPr>
        <w:jc w:val="both"/>
      </w:pPr>
    </w:p>
    <w:p w14:paraId="6066C28D" w14:textId="429FC87D" w:rsidR="00074151" w:rsidRPr="00C54EA3" w:rsidRDefault="00D75F56" w:rsidP="00C54EA3">
      <w:pPr>
        <w:jc w:val="both"/>
      </w:pPr>
      <w:r w:rsidRPr="00C54EA3">
        <w:t>The disability indemnity has been increased with 15,9</w:t>
      </w:r>
      <w:r w:rsidR="00FD0678" w:rsidRPr="00C54EA3">
        <w:t xml:space="preserve"> </w:t>
      </w:r>
      <w:r w:rsidR="00B64B3C">
        <w:t>% as of January</w:t>
      </w:r>
      <w:r w:rsidRPr="00C54EA3">
        <w:t xml:space="preserve"> 2015 (from 202 lei to 234 lei – approx. 52 euro/month for adults with severe disability and from 166 to </w:t>
      </w:r>
      <w:r w:rsidRPr="00C54EA3">
        <w:lastRenderedPageBreak/>
        <w:t>193 lei – approx. 43 euro for adults with accentuated disability)</w:t>
      </w:r>
      <w:r w:rsidR="0050761B" w:rsidRPr="00C54EA3">
        <w:t xml:space="preserve"> and two</w:t>
      </w:r>
      <w:r w:rsidR="009B385C" w:rsidRPr="00C54EA3">
        <w:t xml:space="preserve"> new </w:t>
      </w:r>
      <w:r w:rsidR="0050761B" w:rsidRPr="00C54EA3">
        <w:t>waves of raises are planned for January 2018 and July 2018. Starting 2018, the disability indemnity will be calculated according to the Social Reference Indicator</w:t>
      </w:r>
      <w:r w:rsidR="006C3F54" w:rsidRPr="00C54EA3">
        <w:t xml:space="preserve"> - SRI</w:t>
      </w:r>
      <w:r w:rsidR="0050761B" w:rsidRPr="00C54EA3">
        <w:t xml:space="preserve"> </w:t>
      </w:r>
      <w:r w:rsidR="006E2044" w:rsidRPr="00C54EA3">
        <w:t>(the old amount was calculated according to Consumer Price Index) and will be as it follows:</w:t>
      </w:r>
    </w:p>
    <w:p w14:paraId="61429594" w14:textId="77777777" w:rsidR="00074151" w:rsidRPr="00C54EA3" w:rsidRDefault="00074151" w:rsidP="00C54EA3">
      <w:pPr>
        <w:jc w:val="both"/>
      </w:pPr>
    </w:p>
    <w:p w14:paraId="5271405B" w14:textId="77777777" w:rsidR="00074151" w:rsidRPr="00C54EA3" w:rsidRDefault="00074151" w:rsidP="00B86AF4">
      <w:pPr>
        <w:pStyle w:val="ListParagraph"/>
        <w:numPr>
          <w:ilvl w:val="0"/>
          <w:numId w:val="25"/>
        </w:numPr>
        <w:ind w:left="567" w:hanging="567"/>
        <w:jc w:val="both"/>
      </w:pPr>
      <w:r w:rsidRPr="00C54EA3">
        <w:t xml:space="preserve">65% of the </w:t>
      </w:r>
      <w:r w:rsidR="006C3F54" w:rsidRPr="00C54EA3">
        <w:t>SRI</w:t>
      </w:r>
      <w:r w:rsidRPr="00C54EA3">
        <w:t xml:space="preserve"> for the</w:t>
      </w:r>
      <w:r w:rsidR="006E2044" w:rsidRPr="00C54EA3">
        <w:t xml:space="preserve"> adult with severe disability, meaning </w:t>
      </w:r>
      <w:r w:rsidRPr="00C54EA3">
        <w:t>325 lei</w:t>
      </w:r>
      <w:r w:rsidR="006C3F54" w:rsidRPr="00C54EA3">
        <w:t xml:space="preserve"> (71 euros)</w:t>
      </w:r>
      <w:r w:rsidRPr="00C54EA3">
        <w:t xml:space="preserve"> instead of 234 lei;</w:t>
      </w:r>
    </w:p>
    <w:p w14:paraId="5DBECAFC" w14:textId="77777777" w:rsidR="00074151" w:rsidRPr="00C54EA3" w:rsidRDefault="00074151" w:rsidP="00B86AF4">
      <w:pPr>
        <w:ind w:left="567" w:hanging="567"/>
        <w:jc w:val="both"/>
      </w:pPr>
    </w:p>
    <w:p w14:paraId="7B7DFCE9" w14:textId="77777777" w:rsidR="00074151" w:rsidRPr="00C54EA3" w:rsidRDefault="006C3F54" w:rsidP="00B86AF4">
      <w:pPr>
        <w:pStyle w:val="ListParagraph"/>
        <w:numPr>
          <w:ilvl w:val="0"/>
          <w:numId w:val="25"/>
        </w:numPr>
        <w:ind w:left="567" w:hanging="567"/>
        <w:jc w:val="both"/>
      </w:pPr>
      <w:r w:rsidRPr="00C54EA3">
        <w:t>50% of SRI</w:t>
      </w:r>
      <w:r w:rsidR="00074151" w:rsidRPr="00C54EA3">
        <w:t xml:space="preserve"> for an adult with </w:t>
      </w:r>
      <w:r w:rsidRPr="00C54EA3">
        <w:t xml:space="preserve">accentuated </w:t>
      </w:r>
      <w:r w:rsidR="00074151" w:rsidRPr="00C54EA3">
        <w:t xml:space="preserve">disabilities - 250 lei </w:t>
      </w:r>
      <w:r w:rsidRPr="00C54EA3">
        <w:t xml:space="preserve">(54 euros) </w:t>
      </w:r>
      <w:r w:rsidR="00074151" w:rsidRPr="00C54EA3">
        <w:t>instead of 193 lei;</w:t>
      </w:r>
    </w:p>
    <w:p w14:paraId="2B5C6EE8" w14:textId="77777777" w:rsidR="00074151" w:rsidRPr="00C54EA3" w:rsidRDefault="00074151" w:rsidP="00C54EA3">
      <w:pPr>
        <w:jc w:val="both"/>
      </w:pPr>
    </w:p>
    <w:p w14:paraId="1417824A" w14:textId="77777777" w:rsidR="00074151" w:rsidRPr="00C54EA3" w:rsidRDefault="006C3F54" w:rsidP="00C54EA3">
      <w:pPr>
        <w:jc w:val="both"/>
      </w:pPr>
      <w:r w:rsidRPr="00C54EA3">
        <w:t>T</w:t>
      </w:r>
      <w:r w:rsidR="00074151" w:rsidRPr="00C54EA3">
        <w:t xml:space="preserve">he monthly </w:t>
      </w:r>
      <w:r w:rsidRPr="00C54EA3">
        <w:t xml:space="preserve">complementary personal budget, no matter of the </w:t>
      </w:r>
      <w:r w:rsidR="00074151" w:rsidRPr="00C54EA3">
        <w:t>income, will represent:</w:t>
      </w:r>
    </w:p>
    <w:p w14:paraId="64EE19B6" w14:textId="77777777" w:rsidR="00074151" w:rsidRPr="00C54EA3" w:rsidRDefault="00074151" w:rsidP="00B86AF4">
      <w:pPr>
        <w:ind w:left="567" w:hanging="567"/>
        <w:jc w:val="both"/>
      </w:pPr>
    </w:p>
    <w:p w14:paraId="1D5D4A3D" w14:textId="77777777" w:rsidR="00074151" w:rsidRPr="00C54EA3" w:rsidRDefault="00074151" w:rsidP="00B86AF4">
      <w:pPr>
        <w:pStyle w:val="ListParagraph"/>
        <w:numPr>
          <w:ilvl w:val="0"/>
          <w:numId w:val="25"/>
        </w:numPr>
        <w:ind w:left="567" w:hanging="567"/>
        <w:jc w:val="both"/>
      </w:pPr>
      <w:r w:rsidRPr="00C54EA3">
        <w:t xml:space="preserve">25% of the </w:t>
      </w:r>
      <w:r w:rsidR="006C3F54" w:rsidRPr="00C54EA3">
        <w:t>SRI</w:t>
      </w:r>
      <w:r w:rsidRPr="00C54EA3">
        <w:t xml:space="preserve"> for the adult with severe disability - 125 lei </w:t>
      </w:r>
      <w:r w:rsidR="006C3F54" w:rsidRPr="00C54EA3">
        <w:t xml:space="preserve">(27 euros) </w:t>
      </w:r>
      <w:r w:rsidRPr="00C54EA3">
        <w:t>instead of 106 lei;</w:t>
      </w:r>
    </w:p>
    <w:p w14:paraId="1EF5C7F3" w14:textId="77777777" w:rsidR="00074151" w:rsidRPr="00C54EA3" w:rsidRDefault="00074151" w:rsidP="00B86AF4">
      <w:pPr>
        <w:ind w:left="567" w:hanging="567"/>
        <w:jc w:val="both"/>
      </w:pPr>
    </w:p>
    <w:p w14:paraId="56047B2F" w14:textId="77777777" w:rsidR="00074151" w:rsidRPr="00C54EA3" w:rsidRDefault="00074151" w:rsidP="00B86AF4">
      <w:pPr>
        <w:pStyle w:val="ListParagraph"/>
        <w:numPr>
          <w:ilvl w:val="0"/>
          <w:numId w:val="25"/>
        </w:numPr>
        <w:ind w:left="567" w:hanging="567"/>
        <w:jc w:val="both"/>
      </w:pPr>
      <w:r w:rsidRPr="00C54EA3">
        <w:t xml:space="preserve">20% of </w:t>
      </w:r>
      <w:r w:rsidR="006C3F54" w:rsidRPr="00C54EA3">
        <w:t>SRI</w:t>
      </w:r>
      <w:r w:rsidRPr="00C54EA3">
        <w:t xml:space="preserve"> for the adult </w:t>
      </w:r>
      <w:r w:rsidR="006C3F54" w:rsidRPr="00C54EA3">
        <w:t>with accentuated disability</w:t>
      </w:r>
      <w:r w:rsidRPr="00C54EA3">
        <w:t xml:space="preserve">- 100 lei </w:t>
      </w:r>
      <w:r w:rsidR="006C3F54" w:rsidRPr="00C54EA3">
        <w:t xml:space="preserve">(22 euros) </w:t>
      </w:r>
      <w:r w:rsidRPr="00C54EA3">
        <w:t>instead of 79 lei;</w:t>
      </w:r>
    </w:p>
    <w:p w14:paraId="04F6A5FA" w14:textId="77777777" w:rsidR="00074151" w:rsidRPr="00C54EA3" w:rsidRDefault="00074151" w:rsidP="00B86AF4">
      <w:pPr>
        <w:ind w:left="567" w:hanging="567"/>
        <w:jc w:val="both"/>
      </w:pPr>
    </w:p>
    <w:p w14:paraId="054A0A84" w14:textId="77777777" w:rsidR="00074151" w:rsidRPr="00C54EA3" w:rsidRDefault="006C3F54" w:rsidP="00B86AF4">
      <w:pPr>
        <w:pStyle w:val="ListParagraph"/>
        <w:numPr>
          <w:ilvl w:val="0"/>
          <w:numId w:val="25"/>
        </w:numPr>
        <w:ind w:left="567" w:hanging="567"/>
        <w:jc w:val="both"/>
      </w:pPr>
      <w:r w:rsidRPr="00C54EA3">
        <w:t>10% of the SRI, for the medium</w:t>
      </w:r>
      <w:r w:rsidR="00074151" w:rsidRPr="00C54EA3">
        <w:t xml:space="preserve"> disabled adult - 50 lei </w:t>
      </w:r>
      <w:r w:rsidRPr="00C54EA3">
        <w:t xml:space="preserve">(11 euros) </w:t>
      </w:r>
      <w:r w:rsidR="00074151" w:rsidRPr="00C54EA3">
        <w:t>instead of 39 lei;</w:t>
      </w:r>
    </w:p>
    <w:p w14:paraId="04822141" w14:textId="77777777" w:rsidR="00074151" w:rsidRPr="00C54EA3" w:rsidRDefault="00074151" w:rsidP="00C54EA3">
      <w:pPr>
        <w:jc w:val="both"/>
      </w:pPr>
    </w:p>
    <w:p w14:paraId="0F42700A" w14:textId="77777777" w:rsidR="00074151" w:rsidRPr="00C54EA3" w:rsidRDefault="00074151" w:rsidP="00C54EA3">
      <w:pPr>
        <w:jc w:val="both"/>
      </w:pPr>
      <w:r w:rsidRPr="00C54EA3">
        <w:t>Starting July 1, 2018</w:t>
      </w:r>
      <w:r w:rsidR="006C3F54" w:rsidRPr="00C54EA3">
        <w:t>, the disability indemnity</w:t>
      </w:r>
      <w:r w:rsidRPr="00C54EA3">
        <w:t xml:space="preserve"> will increase</w:t>
      </w:r>
      <w:r w:rsidR="006C3F54" w:rsidRPr="00C54EA3">
        <w:t xml:space="preserve"> to</w:t>
      </w:r>
      <w:r w:rsidRPr="00C54EA3">
        <w:t>:</w:t>
      </w:r>
    </w:p>
    <w:p w14:paraId="02D0F6AB" w14:textId="77777777" w:rsidR="00074151" w:rsidRPr="00C54EA3" w:rsidRDefault="00074151" w:rsidP="00C54EA3">
      <w:pPr>
        <w:jc w:val="both"/>
      </w:pPr>
    </w:p>
    <w:p w14:paraId="2593B917" w14:textId="77777777" w:rsidR="00074151" w:rsidRPr="00C54EA3" w:rsidRDefault="00074151" w:rsidP="00B86AF4">
      <w:pPr>
        <w:pStyle w:val="ListParagraph"/>
        <w:numPr>
          <w:ilvl w:val="0"/>
          <w:numId w:val="25"/>
        </w:numPr>
        <w:ind w:left="567" w:hanging="567"/>
        <w:jc w:val="both"/>
      </w:pPr>
      <w:r w:rsidRPr="00C54EA3">
        <w:t xml:space="preserve">70% of the </w:t>
      </w:r>
      <w:r w:rsidR="006C3F54" w:rsidRPr="00C54EA3">
        <w:t>SRI</w:t>
      </w:r>
      <w:r w:rsidRPr="00C54EA3">
        <w:t xml:space="preserve"> for the severely disabled adult;</w:t>
      </w:r>
    </w:p>
    <w:p w14:paraId="2F307F53" w14:textId="77777777" w:rsidR="00074151" w:rsidRPr="00C54EA3" w:rsidRDefault="00074151" w:rsidP="00B86AF4">
      <w:pPr>
        <w:ind w:left="567" w:hanging="567"/>
        <w:jc w:val="both"/>
      </w:pPr>
    </w:p>
    <w:p w14:paraId="72916712" w14:textId="77777777" w:rsidR="00074151" w:rsidRPr="00C54EA3" w:rsidRDefault="00074151" w:rsidP="00B86AF4">
      <w:pPr>
        <w:pStyle w:val="ListParagraph"/>
        <w:numPr>
          <w:ilvl w:val="0"/>
          <w:numId w:val="25"/>
        </w:numPr>
        <w:ind w:left="567" w:hanging="567"/>
        <w:jc w:val="both"/>
      </w:pPr>
      <w:r w:rsidRPr="00C54EA3">
        <w:t xml:space="preserve">53% of the </w:t>
      </w:r>
      <w:r w:rsidR="006C3F54" w:rsidRPr="00C54EA3">
        <w:t>SRI</w:t>
      </w:r>
      <w:r w:rsidRPr="00C54EA3">
        <w:t xml:space="preserve"> for the adult with </w:t>
      </w:r>
      <w:r w:rsidR="006C3F54" w:rsidRPr="00C54EA3">
        <w:t>accentuated disability</w:t>
      </w:r>
    </w:p>
    <w:p w14:paraId="4F2C0829" w14:textId="77777777" w:rsidR="00074151" w:rsidRPr="00C54EA3" w:rsidRDefault="00074151" w:rsidP="00C54EA3">
      <w:pPr>
        <w:jc w:val="both"/>
      </w:pPr>
    </w:p>
    <w:p w14:paraId="6741F904" w14:textId="77777777" w:rsidR="00074151" w:rsidRPr="00C54EA3" w:rsidRDefault="006C3F54" w:rsidP="00C54EA3">
      <w:pPr>
        <w:jc w:val="both"/>
      </w:pPr>
      <w:r w:rsidRPr="00C54EA3">
        <w:t>And t</w:t>
      </w:r>
      <w:r w:rsidR="00074151" w:rsidRPr="00C54EA3">
        <w:t xml:space="preserve">he monthly complementary personal budget, </w:t>
      </w:r>
      <w:r w:rsidRPr="00C54EA3">
        <w:t xml:space="preserve">no matter </w:t>
      </w:r>
      <w:r w:rsidR="00074151" w:rsidRPr="00C54EA3">
        <w:t xml:space="preserve">of income, </w:t>
      </w:r>
      <w:r w:rsidRPr="00C54EA3">
        <w:t xml:space="preserve">will be </w:t>
      </w:r>
      <w:r w:rsidR="00074151" w:rsidRPr="00C54EA3">
        <w:t>representing:</w:t>
      </w:r>
    </w:p>
    <w:p w14:paraId="68FAEC69" w14:textId="77777777" w:rsidR="00074151" w:rsidRPr="00C54EA3" w:rsidRDefault="00074151" w:rsidP="00C54EA3">
      <w:pPr>
        <w:jc w:val="both"/>
      </w:pPr>
    </w:p>
    <w:p w14:paraId="7D4C6FCD" w14:textId="77777777" w:rsidR="00074151" w:rsidRPr="00C54EA3" w:rsidRDefault="00074151" w:rsidP="00B86AF4">
      <w:pPr>
        <w:pStyle w:val="ListParagraph"/>
        <w:numPr>
          <w:ilvl w:val="0"/>
          <w:numId w:val="25"/>
        </w:numPr>
        <w:ind w:left="567" w:hanging="567"/>
        <w:jc w:val="both"/>
      </w:pPr>
      <w:r w:rsidRPr="00C54EA3">
        <w:t xml:space="preserve">30% of </w:t>
      </w:r>
      <w:r w:rsidR="006C3F54" w:rsidRPr="00C54EA3">
        <w:t>SRI for the severely disabled adult</w:t>
      </w:r>
      <w:r w:rsidRPr="00C54EA3">
        <w:t>;</w:t>
      </w:r>
    </w:p>
    <w:p w14:paraId="786A0EBE" w14:textId="77777777" w:rsidR="00074151" w:rsidRPr="00C54EA3" w:rsidRDefault="00074151" w:rsidP="00B86AF4">
      <w:pPr>
        <w:ind w:left="567" w:hanging="567"/>
        <w:jc w:val="both"/>
      </w:pPr>
    </w:p>
    <w:p w14:paraId="17C49838" w14:textId="77777777" w:rsidR="00074151" w:rsidRPr="00C54EA3" w:rsidRDefault="00074151" w:rsidP="00B86AF4">
      <w:pPr>
        <w:pStyle w:val="ListParagraph"/>
        <w:numPr>
          <w:ilvl w:val="0"/>
          <w:numId w:val="25"/>
        </w:numPr>
        <w:ind w:left="567" w:hanging="567"/>
        <w:jc w:val="both"/>
      </w:pPr>
      <w:r w:rsidRPr="00C54EA3">
        <w:t xml:space="preserve">22% of </w:t>
      </w:r>
      <w:r w:rsidR="006C3F54" w:rsidRPr="00C54EA3">
        <w:t>SRI for the adult with accentuated disability</w:t>
      </w:r>
      <w:r w:rsidRPr="00C54EA3">
        <w:t>;</w:t>
      </w:r>
    </w:p>
    <w:p w14:paraId="6C10664C" w14:textId="77777777" w:rsidR="00074151" w:rsidRPr="00C54EA3" w:rsidRDefault="00074151" w:rsidP="00B86AF4">
      <w:pPr>
        <w:ind w:left="567" w:hanging="567"/>
        <w:jc w:val="both"/>
      </w:pPr>
    </w:p>
    <w:p w14:paraId="4C31562A" w14:textId="77777777" w:rsidR="00074151" w:rsidRPr="00C54EA3" w:rsidRDefault="00074151" w:rsidP="00B86AF4">
      <w:pPr>
        <w:pStyle w:val="ListParagraph"/>
        <w:numPr>
          <w:ilvl w:val="0"/>
          <w:numId w:val="25"/>
        </w:numPr>
        <w:ind w:left="567" w:hanging="567"/>
        <w:jc w:val="both"/>
      </w:pPr>
      <w:r w:rsidRPr="00C54EA3">
        <w:t xml:space="preserve">12% of </w:t>
      </w:r>
      <w:r w:rsidR="006C3F54" w:rsidRPr="00C54EA3">
        <w:t>SRI</w:t>
      </w:r>
      <w:r w:rsidRPr="00C54EA3">
        <w:t xml:space="preserve"> for the </w:t>
      </w:r>
      <w:r w:rsidR="006C3F54" w:rsidRPr="00C54EA3">
        <w:t>medium disabled</w:t>
      </w:r>
      <w:r w:rsidRPr="00C54EA3">
        <w:t xml:space="preserve"> adult;</w:t>
      </w:r>
    </w:p>
    <w:p w14:paraId="30649746" w14:textId="77777777" w:rsidR="009E17AB" w:rsidRPr="00C54EA3" w:rsidRDefault="009E17AB" w:rsidP="00C54EA3">
      <w:pPr>
        <w:jc w:val="both"/>
      </w:pPr>
    </w:p>
    <w:p w14:paraId="1E0C2DA0" w14:textId="77777777" w:rsidR="00100A46" w:rsidRPr="00C54EA3" w:rsidRDefault="00100A46" w:rsidP="00C54EA3">
      <w:pPr>
        <w:jc w:val="both"/>
      </w:pPr>
      <w:r w:rsidRPr="00C54EA3">
        <w:t xml:space="preserve">According to the Law no. 448/2006 states, at Art. 26, that disabled people benefit from tax breaks: Exemption from tax on building and land; Exemption from the tax on cars, motorcycles with sidecars and </w:t>
      </w:r>
      <w:r w:rsidR="009F5988" w:rsidRPr="00C54EA3">
        <w:t>moto tricycles</w:t>
      </w:r>
      <w:r w:rsidRPr="00C54EA3">
        <w:t xml:space="preserve"> adapted for disability; Exemption from the fee for issuing the operating license for economic activity and their annual visa; Exemption from the hotel tax.</w:t>
      </w:r>
    </w:p>
    <w:p w14:paraId="543F1AC1" w14:textId="77777777" w:rsidR="00100A46" w:rsidRPr="00C54EA3" w:rsidRDefault="00100A46" w:rsidP="00C54EA3">
      <w:pPr>
        <w:jc w:val="both"/>
      </w:pPr>
    </w:p>
    <w:p w14:paraId="13F250D5" w14:textId="77777777" w:rsidR="00100A46" w:rsidRPr="00C54EA3" w:rsidRDefault="00100A46" w:rsidP="00C54EA3">
      <w:pPr>
        <w:jc w:val="both"/>
      </w:pPr>
      <w:r w:rsidRPr="00C54EA3">
        <w:t xml:space="preserve">Also, public authorities must establish criteria for </w:t>
      </w:r>
      <w:r w:rsidR="00D80A5D" w:rsidRPr="00C54EA3">
        <w:t>renting</w:t>
      </w:r>
      <w:r w:rsidRPr="00C54EA3">
        <w:t xml:space="preserve"> </w:t>
      </w:r>
      <w:r w:rsidR="00D80A5D" w:rsidRPr="00C54EA3">
        <w:t xml:space="preserve">public </w:t>
      </w:r>
      <w:r w:rsidRPr="00C54EA3">
        <w:t>hous</w:t>
      </w:r>
      <w:r w:rsidR="00D80A5D" w:rsidRPr="00C54EA3">
        <w:t>ing</w:t>
      </w:r>
      <w:r w:rsidRPr="00C54EA3">
        <w:t xml:space="preserve"> at lower costs for disabled people. Moreover, </w:t>
      </w:r>
      <w:r w:rsidR="009E17AB" w:rsidRPr="00C54EA3">
        <w:t>severe</w:t>
      </w:r>
      <w:r w:rsidR="00D80A5D" w:rsidRPr="00C54EA3">
        <w:t>ly</w:t>
      </w:r>
      <w:r w:rsidR="009E17AB" w:rsidRPr="00C54EA3">
        <w:t xml:space="preserve"> </w:t>
      </w:r>
      <w:r w:rsidRPr="00C54EA3">
        <w:t xml:space="preserve">disabled people benefit from a living room in homes belonging to the state, in addition to the minimum standards of living provided </w:t>
      </w:r>
      <w:r w:rsidRPr="00C54EA3">
        <w:lastRenderedPageBreak/>
        <w:t xml:space="preserve">by law, based on rental contracts or from exemption from rent for the housing areas owned by the state. At the same time, the family or the legal representative of the </w:t>
      </w:r>
      <w:r w:rsidR="009E17AB" w:rsidRPr="00C54EA3">
        <w:t>severe</w:t>
      </w:r>
      <w:r w:rsidR="00D80A5D" w:rsidRPr="00C54EA3">
        <w:t>ly</w:t>
      </w:r>
      <w:r w:rsidR="009E17AB" w:rsidRPr="00C54EA3">
        <w:t xml:space="preserve"> </w:t>
      </w:r>
      <w:r w:rsidRPr="00C54EA3">
        <w:t>disabled person benefit from this stipulation.</w:t>
      </w:r>
    </w:p>
    <w:p w14:paraId="5213B260" w14:textId="77777777" w:rsidR="00100A46" w:rsidRPr="00C54EA3" w:rsidRDefault="00100A46" w:rsidP="00C54EA3">
      <w:pPr>
        <w:jc w:val="both"/>
      </w:pPr>
    </w:p>
    <w:p w14:paraId="58AEF327" w14:textId="77777777" w:rsidR="00100A46" w:rsidRPr="00C54EA3" w:rsidRDefault="00100A46" w:rsidP="00C54EA3">
      <w:pPr>
        <w:jc w:val="both"/>
      </w:pPr>
      <w:r w:rsidRPr="00C54EA3">
        <w:t xml:space="preserve">Also, disabled people benefit from several advantages in terms of disability-related expenses. </w:t>
      </w:r>
      <w:r w:rsidR="009E17AB" w:rsidRPr="00C54EA3">
        <w:t xml:space="preserve">Severe </w:t>
      </w:r>
      <w:r w:rsidRPr="00C54EA3">
        <w:t>disabled adults/children benefit from free interurban transport, of choice, with any train within the cost of a ticket for a fast train, second class, buses and river transport ships, up to 12 round trips per year and free urban transport with any public transportation on surface and underground.</w:t>
      </w:r>
    </w:p>
    <w:p w14:paraId="4AB2F6AF" w14:textId="77777777" w:rsidR="00100A46" w:rsidRPr="00C54EA3" w:rsidRDefault="00100A46" w:rsidP="00C54EA3">
      <w:pPr>
        <w:jc w:val="both"/>
      </w:pPr>
    </w:p>
    <w:p w14:paraId="4EAE7768" w14:textId="77777777" w:rsidR="00100A46" w:rsidRPr="00C54EA3" w:rsidRDefault="009E17AB" w:rsidP="00C54EA3">
      <w:pPr>
        <w:jc w:val="both"/>
      </w:pPr>
      <w:r w:rsidRPr="00C54EA3">
        <w:t xml:space="preserve">Accentuated </w:t>
      </w:r>
      <w:r w:rsidR="00100A46" w:rsidRPr="00C54EA3">
        <w:t>disabled adults benefit from free interurban transport, of choice, with any train within the cost of a ticket for a fast train, second class, buses and river transport ships, up to 6 round trips per year and free urban transport with any public transportation on surface and underground.</w:t>
      </w:r>
    </w:p>
    <w:p w14:paraId="1627B6D6" w14:textId="77777777" w:rsidR="00100A46" w:rsidRPr="00C54EA3" w:rsidRDefault="00100A46" w:rsidP="00C54EA3">
      <w:pPr>
        <w:jc w:val="both"/>
      </w:pPr>
    </w:p>
    <w:p w14:paraId="0C9DF25B" w14:textId="77777777" w:rsidR="00100A46" w:rsidRPr="00C54EA3" w:rsidRDefault="00100A46" w:rsidP="00C54EA3">
      <w:pPr>
        <w:jc w:val="both"/>
      </w:pPr>
      <w:r w:rsidRPr="00C54EA3">
        <w:t>Last, but not least, disabled persons who own cars adapted for disability and their caregivers benefit, according to Art. 28, from exemption from the tax for using the national road network (vignette).</w:t>
      </w:r>
    </w:p>
    <w:p w14:paraId="226752E5" w14:textId="77777777" w:rsidR="00100A46" w:rsidRPr="00C54EA3" w:rsidRDefault="00100A46" w:rsidP="00C54EA3">
      <w:pPr>
        <w:jc w:val="both"/>
      </w:pPr>
    </w:p>
    <w:p w14:paraId="70E3D9C1" w14:textId="77777777" w:rsidR="00D75F56" w:rsidRPr="00C54EA3" w:rsidRDefault="00100A46" w:rsidP="00C54EA3">
      <w:pPr>
        <w:jc w:val="both"/>
      </w:pPr>
      <w:r w:rsidRPr="00C54EA3">
        <w:t>Even so, p</w:t>
      </w:r>
      <w:r w:rsidR="00D75F56" w:rsidRPr="00C54EA3">
        <w:t xml:space="preserve">ersons with disabilities </w:t>
      </w:r>
      <w:proofErr w:type="gramStart"/>
      <w:r w:rsidR="00D75F56" w:rsidRPr="00C54EA3">
        <w:t>still remain</w:t>
      </w:r>
      <w:proofErr w:type="gramEnd"/>
      <w:r w:rsidR="00D75F56" w:rsidRPr="00C54EA3">
        <w:t xml:space="preserve"> one of the poorest social categories in Romania. </w:t>
      </w:r>
    </w:p>
    <w:p w14:paraId="7025B4A6" w14:textId="77777777" w:rsidR="00CB2BC5" w:rsidRPr="00C54EA3" w:rsidRDefault="00CB2BC5" w:rsidP="00C54EA3">
      <w:pPr>
        <w:jc w:val="both"/>
      </w:pPr>
    </w:p>
    <w:p w14:paraId="7190481A" w14:textId="77777777" w:rsidR="001E4166" w:rsidRPr="00C54EA3" w:rsidRDefault="00DD1C3D" w:rsidP="00C54EA3">
      <w:pPr>
        <w:jc w:val="both"/>
        <w:rPr>
          <w:lang w:eastAsia="en-GB"/>
        </w:rPr>
      </w:pPr>
      <w:r w:rsidRPr="00C54EA3">
        <w:t xml:space="preserve">Main specific objectives: </w:t>
      </w:r>
    </w:p>
    <w:p w14:paraId="472AFAC4" w14:textId="77777777" w:rsidR="00DD1C3D" w:rsidRPr="00C54EA3" w:rsidRDefault="00DD1C3D" w:rsidP="00C54EA3">
      <w:pPr>
        <w:jc w:val="both"/>
      </w:pPr>
    </w:p>
    <w:p w14:paraId="56E30BA4" w14:textId="77777777" w:rsidR="00DD1C3D" w:rsidRPr="00C54EA3" w:rsidRDefault="00DD1C3D" w:rsidP="00C54EA3">
      <w:pPr>
        <w:pStyle w:val="ListParagraph"/>
        <w:numPr>
          <w:ilvl w:val="0"/>
          <w:numId w:val="28"/>
        </w:numPr>
        <w:ind w:left="567" w:hanging="567"/>
        <w:jc w:val="both"/>
      </w:pPr>
      <w:r w:rsidRPr="00C54EA3">
        <w:t>Improvement of living conditions for people with disabilities, protection of their right to an adequate living standard;</w:t>
      </w:r>
    </w:p>
    <w:p w14:paraId="5F4275A2" w14:textId="77777777" w:rsidR="00DD1C3D" w:rsidRPr="00C54EA3" w:rsidRDefault="00DD1C3D" w:rsidP="00C54EA3">
      <w:pPr>
        <w:pStyle w:val="ListParagraph"/>
        <w:numPr>
          <w:ilvl w:val="0"/>
          <w:numId w:val="28"/>
        </w:numPr>
        <w:ind w:left="567" w:hanging="567"/>
        <w:jc w:val="both"/>
      </w:pPr>
      <w:r w:rsidRPr="00C54EA3">
        <w:t>Ensuring access to social protection for children, women and elderly with disabilities;</w:t>
      </w:r>
    </w:p>
    <w:p w14:paraId="13A7A6A4" w14:textId="77777777" w:rsidR="00DD1C3D" w:rsidRPr="00C54EA3" w:rsidRDefault="00DD1C3D" w:rsidP="00C54EA3">
      <w:pPr>
        <w:pStyle w:val="ListParagraph"/>
        <w:numPr>
          <w:ilvl w:val="0"/>
          <w:numId w:val="28"/>
        </w:numPr>
        <w:ind w:left="567" w:hanging="567"/>
        <w:jc w:val="both"/>
      </w:pPr>
      <w:r w:rsidRPr="00C54EA3">
        <w:t>Providing integrated community services;</w:t>
      </w:r>
    </w:p>
    <w:p w14:paraId="21B08C70" w14:textId="77777777" w:rsidR="00DD1C3D" w:rsidRPr="00C54EA3" w:rsidRDefault="00DD1C3D" w:rsidP="00C54EA3">
      <w:pPr>
        <w:pStyle w:val="ListParagraph"/>
        <w:numPr>
          <w:ilvl w:val="0"/>
          <w:numId w:val="28"/>
        </w:numPr>
        <w:ind w:left="567" w:hanging="567"/>
        <w:jc w:val="both"/>
      </w:pPr>
      <w:r w:rsidRPr="00C54EA3">
        <w:t xml:space="preserve">Raising awareness of the public opinion with regards to supporting an increase in the quality of living for people with disabilities. </w:t>
      </w:r>
    </w:p>
    <w:p w14:paraId="0D087AA2" w14:textId="77777777" w:rsidR="0010423F" w:rsidRPr="00C54EA3" w:rsidRDefault="0010423F" w:rsidP="00C54EA3">
      <w:pPr>
        <w:jc w:val="both"/>
      </w:pPr>
    </w:p>
    <w:p w14:paraId="19555971" w14:textId="77777777" w:rsidR="0010423F" w:rsidRPr="00C54EA3" w:rsidRDefault="001E4166" w:rsidP="00C54EA3">
      <w:pPr>
        <w:pStyle w:val="Heading2"/>
        <w:jc w:val="both"/>
        <w:rPr>
          <w:szCs w:val="24"/>
          <w:lang w:eastAsia="en-GB"/>
        </w:rPr>
      </w:pPr>
      <w:bookmarkStart w:id="22" w:name="_Toc508203266"/>
      <w:r w:rsidRPr="00C54EA3">
        <w:rPr>
          <w:szCs w:val="24"/>
          <w:lang w:eastAsia="en-GB"/>
        </w:rPr>
        <w:t>S</w:t>
      </w:r>
      <w:r w:rsidR="0010423F" w:rsidRPr="00C54EA3">
        <w:rPr>
          <w:szCs w:val="24"/>
          <w:lang w:eastAsia="en-GB"/>
        </w:rPr>
        <w:t xml:space="preserve">ynergies between </w:t>
      </w:r>
      <w:r w:rsidRPr="00C54EA3">
        <w:rPr>
          <w:szCs w:val="24"/>
          <w:lang w:eastAsia="en-GB"/>
        </w:rPr>
        <w:t>developments in the different areas</w:t>
      </w:r>
      <w:bookmarkEnd w:id="22"/>
    </w:p>
    <w:p w14:paraId="7A550D8D" w14:textId="77777777" w:rsidR="0010423F" w:rsidRPr="00C54EA3" w:rsidRDefault="0010423F" w:rsidP="00C54EA3">
      <w:pPr>
        <w:jc w:val="both"/>
        <w:rPr>
          <w:lang w:eastAsia="en-GB"/>
        </w:rPr>
      </w:pPr>
    </w:p>
    <w:p w14:paraId="2BF5E1B2" w14:textId="77777777" w:rsidR="00792924" w:rsidRPr="00C54EA3" w:rsidRDefault="00F469E9" w:rsidP="00C54EA3">
      <w:pPr>
        <w:jc w:val="both"/>
        <w:rPr>
          <w:lang w:eastAsia="en-GB"/>
        </w:rPr>
      </w:pPr>
      <w:r w:rsidRPr="00C54EA3">
        <w:rPr>
          <w:lang w:eastAsia="en-GB"/>
        </w:rPr>
        <w:t xml:space="preserve">Compared to the NRP for 2015, the </w:t>
      </w:r>
      <w:r w:rsidR="00F95E74" w:rsidRPr="00C54EA3">
        <w:rPr>
          <w:lang w:eastAsia="en-GB"/>
        </w:rPr>
        <w:t xml:space="preserve">2016 </w:t>
      </w:r>
      <w:r w:rsidRPr="00C54EA3">
        <w:rPr>
          <w:lang w:eastAsia="en-GB"/>
        </w:rPr>
        <w:t xml:space="preserve">Reform </w:t>
      </w:r>
      <w:r w:rsidR="00F95E74" w:rsidRPr="00C54EA3">
        <w:rPr>
          <w:lang w:eastAsia="en-GB"/>
        </w:rPr>
        <w:t xml:space="preserve">Program directs the attentions also to disabled people. If in 2015, </w:t>
      </w:r>
      <w:r w:rsidR="00A92859" w:rsidRPr="00C54EA3">
        <w:rPr>
          <w:lang w:eastAsia="en-GB"/>
        </w:rPr>
        <w:t xml:space="preserve">there </w:t>
      </w:r>
      <w:r w:rsidR="00F95E74" w:rsidRPr="00C54EA3">
        <w:rPr>
          <w:lang w:eastAsia="en-GB"/>
        </w:rPr>
        <w:t xml:space="preserve">were </w:t>
      </w:r>
      <w:r w:rsidR="00A92859" w:rsidRPr="00C54EA3">
        <w:rPr>
          <w:lang w:eastAsia="en-GB"/>
        </w:rPr>
        <w:t xml:space="preserve">no </w:t>
      </w:r>
      <w:r w:rsidR="00D6287B" w:rsidRPr="00C54EA3">
        <w:rPr>
          <w:lang w:eastAsia="en-GB"/>
        </w:rPr>
        <w:t>disability-s</w:t>
      </w:r>
      <w:r w:rsidR="00A92859" w:rsidRPr="00C54EA3">
        <w:rPr>
          <w:lang w:eastAsia="en-GB"/>
        </w:rPr>
        <w:t xml:space="preserve">pecific </w:t>
      </w:r>
      <w:r w:rsidR="00D75F56" w:rsidRPr="00C54EA3">
        <w:rPr>
          <w:lang w:eastAsia="en-GB"/>
        </w:rPr>
        <w:t xml:space="preserve">measures in </w:t>
      </w:r>
      <w:r w:rsidR="00A92859" w:rsidRPr="00C54EA3">
        <w:rPr>
          <w:lang w:eastAsia="en-GB"/>
        </w:rPr>
        <w:t>the NRP</w:t>
      </w:r>
      <w:r w:rsidR="005248D0" w:rsidRPr="00C54EA3">
        <w:rPr>
          <w:lang w:eastAsia="en-GB"/>
        </w:rPr>
        <w:t xml:space="preserve">, </w:t>
      </w:r>
      <w:r w:rsidR="00011386" w:rsidRPr="00C54EA3">
        <w:rPr>
          <w:lang w:eastAsia="en-GB"/>
        </w:rPr>
        <w:t>only</w:t>
      </w:r>
      <w:r w:rsidR="00F95E74" w:rsidRPr="00C54EA3">
        <w:rPr>
          <w:lang w:eastAsia="en-GB"/>
        </w:rPr>
        <w:t xml:space="preserve"> </w:t>
      </w:r>
      <w:r w:rsidR="005248D0" w:rsidRPr="00C54EA3">
        <w:rPr>
          <w:lang w:eastAsia="en-GB"/>
        </w:rPr>
        <w:t>few mentions related to specific projects undertaken by Ministries targeting this group (particularly in the early education for children with disabilities)</w:t>
      </w:r>
      <w:r w:rsidR="00011386" w:rsidRPr="00C54EA3">
        <w:rPr>
          <w:lang w:eastAsia="en-GB"/>
        </w:rPr>
        <w:t xml:space="preserve">, 2016 brings to light some of the problems disabled people face to work, school or on their everyday life. </w:t>
      </w:r>
      <w:r w:rsidR="002877FD" w:rsidRPr="00C54EA3">
        <w:rPr>
          <w:lang w:eastAsia="en-GB"/>
        </w:rPr>
        <w:t xml:space="preserve">Still, priorities Romania have for years: deinstitutionalisation, employment and education, must be addressed </w:t>
      </w:r>
      <w:r w:rsidR="00A37A25" w:rsidRPr="00C54EA3">
        <w:rPr>
          <w:lang w:eastAsia="en-GB"/>
        </w:rPr>
        <w:t xml:space="preserve">through a holistic approach. </w:t>
      </w:r>
      <w:r w:rsidR="00792924" w:rsidRPr="00C54EA3">
        <w:rPr>
          <w:lang w:eastAsia="en-GB"/>
        </w:rPr>
        <w:t xml:space="preserve">To accomplish this, </w:t>
      </w:r>
      <w:r w:rsidR="002877FD" w:rsidRPr="00C54EA3">
        <w:rPr>
          <w:lang w:eastAsia="en-GB"/>
        </w:rPr>
        <w:t xml:space="preserve">Romania must </w:t>
      </w:r>
      <w:r w:rsidR="006F240D" w:rsidRPr="00C54EA3">
        <w:rPr>
          <w:lang w:eastAsia="en-GB"/>
        </w:rPr>
        <w:t>m</w:t>
      </w:r>
      <w:r w:rsidR="00A37A25" w:rsidRPr="00C54EA3">
        <w:rPr>
          <w:lang w:eastAsia="en-GB"/>
        </w:rPr>
        <w:t>eet a high accessibility rate</w:t>
      </w:r>
      <w:r w:rsidR="00792924" w:rsidRPr="00C54EA3">
        <w:rPr>
          <w:lang w:eastAsia="en-GB"/>
        </w:rPr>
        <w:t xml:space="preserve"> for disabled people. </w:t>
      </w:r>
      <w:proofErr w:type="gramStart"/>
      <w:r w:rsidR="00792924" w:rsidRPr="00C54EA3">
        <w:rPr>
          <w:lang w:eastAsia="en-GB"/>
        </w:rPr>
        <w:t>In order to</w:t>
      </w:r>
      <w:proofErr w:type="gramEnd"/>
      <w:r w:rsidR="00792924" w:rsidRPr="00C54EA3">
        <w:rPr>
          <w:lang w:eastAsia="en-GB"/>
        </w:rPr>
        <w:t xml:space="preserve"> perform this, The National Authority for Disabled People will start a ROP program (Axis 8), at the beginning of September 2016 - a deinstitutionalisation program meant to </w:t>
      </w:r>
      <w:r w:rsidR="00792924" w:rsidRPr="00C54EA3">
        <w:rPr>
          <w:color w:val="212121"/>
          <w:shd w:val="clear" w:color="auto" w:fill="FFFFFF"/>
        </w:rPr>
        <w:t xml:space="preserve">set up protected homes and day care centres through which the community will ensure the transition of people with disabilities from residential centres. Also, this year, two </w:t>
      </w:r>
      <w:r w:rsidR="00792924" w:rsidRPr="00C54EA3">
        <w:rPr>
          <w:color w:val="212121"/>
          <w:shd w:val="clear" w:color="auto" w:fill="FFFFFF"/>
        </w:rPr>
        <w:lastRenderedPageBreak/>
        <w:t>Programs of National Interest will be launched: one for deinstitutionalisation and prevention of institutionalisation and another for developing the National Plan for Accessibility that will lead to concrete measures given to ensure accessibility of the physical environment, information and communications for persons with disabilities.</w:t>
      </w:r>
      <w:r w:rsidR="009C7CC3" w:rsidRPr="00C54EA3">
        <w:rPr>
          <w:color w:val="212121"/>
          <w:shd w:val="clear" w:color="auto" w:fill="FFFFFF"/>
        </w:rPr>
        <w:t xml:space="preserve"> No other information related to this issue are available at this moment, the last being on October 2016, when the NIP was approved. </w:t>
      </w:r>
      <w:r w:rsidR="00792924" w:rsidRPr="00C54EA3">
        <w:rPr>
          <w:color w:val="212121"/>
          <w:shd w:val="clear" w:color="auto" w:fill="FFFFFF"/>
        </w:rPr>
        <w:t xml:space="preserve"> </w:t>
      </w:r>
      <w:r w:rsidR="00EC40D4" w:rsidRPr="00C54EA3">
        <w:rPr>
          <w:color w:val="212121"/>
          <w:shd w:val="clear" w:color="auto" w:fill="FFFFFF"/>
        </w:rPr>
        <w:t xml:space="preserve">On the other side, private companies try to contribute to accessibility. As example, subway authorities </w:t>
      </w:r>
      <w:r w:rsidR="00EC40D4" w:rsidRPr="00C54EA3">
        <w:rPr>
          <w:lang w:eastAsia="en-GB"/>
        </w:rPr>
        <w:t>decided, in May 2016, to pay greater attention to people visually impaired (to put tactile pavement from the station’s entrance to the platforms), as only 2 out of 51 subway stations</w:t>
      </w:r>
      <w:r w:rsidR="00EC40D4" w:rsidRPr="00C54EA3">
        <w:rPr>
          <w:rStyle w:val="FootnoteReference"/>
          <w:lang w:eastAsia="en-GB"/>
        </w:rPr>
        <w:footnoteReference w:id="43"/>
      </w:r>
      <w:r w:rsidR="00EC40D4" w:rsidRPr="00C54EA3">
        <w:rPr>
          <w:lang w:eastAsia="en-GB"/>
        </w:rPr>
        <w:t xml:space="preserve"> were accessible for those with this disability.</w:t>
      </w:r>
    </w:p>
    <w:p w14:paraId="12E02CBA" w14:textId="77777777" w:rsidR="00792924" w:rsidRPr="00C54EA3" w:rsidRDefault="00792924" w:rsidP="00C54EA3">
      <w:pPr>
        <w:jc w:val="both"/>
        <w:rPr>
          <w:lang w:eastAsia="en-GB"/>
        </w:rPr>
      </w:pPr>
    </w:p>
    <w:p w14:paraId="3D20A4DA" w14:textId="77777777" w:rsidR="00CA4A63" w:rsidRPr="00C54EA3" w:rsidRDefault="00CA4A63" w:rsidP="00C54EA3">
      <w:pPr>
        <w:jc w:val="both"/>
        <w:rPr>
          <w:lang w:eastAsia="en-GB"/>
        </w:rPr>
      </w:pPr>
      <w:r w:rsidRPr="00C54EA3">
        <w:rPr>
          <w:lang w:eastAsia="en-GB"/>
        </w:rPr>
        <w:t xml:space="preserve">Also related to Axis 8, during July 2017 - January 2018 it is opened a non-competitive call on </w:t>
      </w:r>
      <w:r w:rsidRPr="00C54EA3">
        <w:rPr>
          <w:i/>
          <w:lang w:eastAsia="en-GB"/>
        </w:rPr>
        <w:t>Developing health and social infrastructure, OS 8.3 Increasing the coverage of social services, line 8.3.B Vulnerable group: people with disabilities</w:t>
      </w:r>
      <w:r w:rsidRPr="00C54EA3">
        <w:rPr>
          <w:lang w:eastAsia="en-GB"/>
        </w:rPr>
        <w:t>.</w:t>
      </w:r>
    </w:p>
    <w:p w14:paraId="28610B66" w14:textId="77777777" w:rsidR="00CA4A63" w:rsidRPr="00C54EA3" w:rsidRDefault="00CA4A63" w:rsidP="00C54EA3">
      <w:pPr>
        <w:jc w:val="both"/>
        <w:rPr>
          <w:lang w:eastAsia="en-GB"/>
        </w:rPr>
      </w:pPr>
    </w:p>
    <w:p w14:paraId="2DFF177B" w14:textId="3D9162D5" w:rsidR="005248D0" w:rsidRPr="00C54EA3" w:rsidRDefault="00A92859" w:rsidP="00C54EA3">
      <w:pPr>
        <w:jc w:val="both"/>
        <w:rPr>
          <w:lang w:eastAsia="en-GB"/>
        </w:rPr>
      </w:pPr>
      <w:r w:rsidRPr="00C54EA3">
        <w:rPr>
          <w:lang w:eastAsia="en-GB"/>
        </w:rPr>
        <w:t xml:space="preserve">General reference to </w:t>
      </w:r>
      <w:r w:rsidRPr="00C54EA3">
        <w:rPr>
          <w:i/>
          <w:lang w:eastAsia="en-GB"/>
        </w:rPr>
        <w:t xml:space="preserve">vulnerable groups </w:t>
      </w:r>
      <w:r w:rsidRPr="00C54EA3">
        <w:rPr>
          <w:lang w:eastAsia="en-GB"/>
        </w:rPr>
        <w:t xml:space="preserve">(particularly in </w:t>
      </w:r>
      <w:r w:rsidRPr="00C54EA3">
        <w:rPr>
          <w:i/>
          <w:lang w:eastAsia="en-GB"/>
        </w:rPr>
        <w:t>education</w:t>
      </w:r>
      <w:r w:rsidRPr="00C54EA3">
        <w:rPr>
          <w:lang w:eastAsia="en-GB"/>
        </w:rPr>
        <w:t>)</w:t>
      </w:r>
      <w:r w:rsidR="00D75F56" w:rsidRPr="00C54EA3">
        <w:rPr>
          <w:lang w:eastAsia="en-GB"/>
        </w:rPr>
        <w:t xml:space="preserve"> is</w:t>
      </w:r>
      <w:r w:rsidR="00A133EB" w:rsidRPr="00C54EA3">
        <w:rPr>
          <w:lang w:eastAsia="en-GB"/>
        </w:rPr>
        <w:t xml:space="preserve"> not </w:t>
      </w:r>
      <w:r w:rsidRPr="00C54EA3">
        <w:rPr>
          <w:lang w:eastAsia="en-GB"/>
        </w:rPr>
        <w:t xml:space="preserve">binding enough for the recently adopted National Strategy on Disability for 2015 – 2020, which does cover </w:t>
      </w:r>
      <w:r w:rsidR="00875775" w:rsidRPr="00C54EA3">
        <w:rPr>
          <w:lang w:eastAsia="en-GB"/>
        </w:rPr>
        <w:t xml:space="preserve">the </w:t>
      </w:r>
      <w:r w:rsidR="00A11A79" w:rsidRPr="00C54EA3">
        <w:rPr>
          <w:lang w:eastAsia="en-GB"/>
        </w:rPr>
        <w:t>above-mentioned</w:t>
      </w:r>
      <w:r w:rsidR="00875775" w:rsidRPr="00C54EA3">
        <w:rPr>
          <w:lang w:eastAsia="en-GB"/>
        </w:rPr>
        <w:t xml:space="preserve"> components (</w:t>
      </w:r>
      <w:r w:rsidR="00875775" w:rsidRPr="00C54EA3">
        <w:rPr>
          <w:i/>
          <w:lang w:eastAsia="en-GB"/>
        </w:rPr>
        <w:t xml:space="preserve">employment, education </w:t>
      </w:r>
      <w:r w:rsidR="00875775" w:rsidRPr="00C54EA3">
        <w:rPr>
          <w:lang w:eastAsia="en-GB"/>
        </w:rPr>
        <w:t xml:space="preserve">and </w:t>
      </w:r>
      <w:r w:rsidR="00875775" w:rsidRPr="00C54EA3">
        <w:rPr>
          <w:i/>
          <w:lang w:eastAsia="en-GB"/>
        </w:rPr>
        <w:t>poverty reduction</w:t>
      </w:r>
      <w:r w:rsidR="00875775" w:rsidRPr="00C54EA3">
        <w:rPr>
          <w:lang w:eastAsia="en-GB"/>
        </w:rPr>
        <w:t>), but with limited e</w:t>
      </w:r>
      <w:r w:rsidR="00D75F56" w:rsidRPr="00C54EA3">
        <w:rPr>
          <w:lang w:eastAsia="en-GB"/>
        </w:rPr>
        <w:t>xpected</w:t>
      </w:r>
      <w:r w:rsidR="00875775" w:rsidRPr="00C54EA3">
        <w:rPr>
          <w:lang w:eastAsia="en-GB"/>
        </w:rPr>
        <w:t xml:space="preserve"> impact</w:t>
      </w:r>
      <w:r w:rsidR="00D75F56" w:rsidRPr="00C54EA3">
        <w:rPr>
          <w:lang w:eastAsia="en-GB"/>
        </w:rPr>
        <w:t>,</w:t>
      </w:r>
      <w:r w:rsidR="00875775" w:rsidRPr="00C54EA3">
        <w:rPr>
          <w:lang w:eastAsia="en-GB"/>
        </w:rPr>
        <w:t xml:space="preserve"> particularly due to the lack of concrete milestones (indicators) to be achieved under each</w:t>
      </w:r>
      <w:r w:rsidR="005248D0" w:rsidRPr="00C54EA3">
        <w:rPr>
          <w:lang w:eastAsia="en-GB"/>
        </w:rPr>
        <w:t xml:space="preserve"> </w:t>
      </w:r>
      <w:r w:rsidR="006530B2" w:rsidRPr="00C54EA3">
        <w:rPr>
          <w:lang w:eastAsia="en-GB"/>
        </w:rPr>
        <w:t xml:space="preserve">priority reform measure assumed. </w:t>
      </w:r>
    </w:p>
    <w:p w14:paraId="2E3491D7" w14:textId="77777777" w:rsidR="005248D0" w:rsidRPr="00C54EA3" w:rsidRDefault="005248D0" w:rsidP="00C54EA3">
      <w:pPr>
        <w:jc w:val="both"/>
        <w:rPr>
          <w:lang w:eastAsia="en-GB"/>
        </w:rPr>
      </w:pPr>
    </w:p>
    <w:p w14:paraId="31CBBBE0" w14:textId="277ECC2B" w:rsidR="00667453" w:rsidRPr="00C54EA3" w:rsidRDefault="006530B2" w:rsidP="00C54EA3">
      <w:pPr>
        <w:jc w:val="both"/>
        <w:rPr>
          <w:lang w:eastAsia="en-GB"/>
        </w:rPr>
      </w:pPr>
      <w:r w:rsidRPr="00C54EA3">
        <w:rPr>
          <w:lang w:eastAsia="en-GB"/>
        </w:rPr>
        <w:t>We can assume that one</w:t>
      </w:r>
      <w:r w:rsidR="00875775" w:rsidRPr="00C54EA3">
        <w:rPr>
          <w:lang w:eastAsia="en-GB"/>
        </w:rPr>
        <w:t xml:space="preserve"> argument for this</w:t>
      </w:r>
      <w:r w:rsidRPr="00C54EA3">
        <w:rPr>
          <w:lang w:eastAsia="en-GB"/>
        </w:rPr>
        <w:t xml:space="preserve"> rather general</w:t>
      </w:r>
      <w:r w:rsidR="00875775" w:rsidRPr="00C54EA3">
        <w:rPr>
          <w:lang w:eastAsia="en-GB"/>
        </w:rPr>
        <w:t xml:space="preserve"> approach </w:t>
      </w:r>
      <w:r w:rsidRPr="00C54EA3">
        <w:rPr>
          <w:lang w:eastAsia="en-GB"/>
        </w:rPr>
        <w:t xml:space="preserve">could be that of having a specific piece of legislation – namely the National Disability Strategy and the corresponding Action Plan </w:t>
      </w:r>
      <w:r w:rsidR="00875775" w:rsidRPr="00C54EA3">
        <w:rPr>
          <w:lang w:eastAsia="en-GB"/>
        </w:rPr>
        <w:t>with concrete interventions, responsible authorities, deadlines and budget for 2015 – this has not been approved yet by the Ministry of Labo</w:t>
      </w:r>
      <w:r w:rsidR="00D75F56" w:rsidRPr="00C54EA3">
        <w:rPr>
          <w:lang w:eastAsia="en-GB"/>
        </w:rPr>
        <w:t>u</w:t>
      </w:r>
      <w:r w:rsidR="00875775" w:rsidRPr="00C54EA3">
        <w:rPr>
          <w:lang w:eastAsia="en-GB"/>
        </w:rPr>
        <w:t>r</w:t>
      </w:r>
      <w:r w:rsidR="0003279B" w:rsidRPr="00C54EA3">
        <w:rPr>
          <w:lang w:eastAsia="en-GB"/>
        </w:rPr>
        <w:t xml:space="preserve"> and Social Justice.</w:t>
      </w:r>
    </w:p>
    <w:p w14:paraId="6FF340E3" w14:textId="77777777" w:rsidR="001E4166" w:rsidRPr="00C54EA3" w:rsidRDefault="001E4166" w:rsidP="00C54EA3">
      <w:pPr>
        <w:jc w:val="both"/>
        <w:rPr>
          <w:rFonts w:eastAsia="SimSun"/>
          <w:lang w:eastAsia="en-GB"/>
        </w:rPr>
      </w:pPr>
    </w:p>
    <w:p w14:paraId="620D2D5D" w14:textId="77777777" w:rsidR="0010423F" w:rsidRPr="00C54EA3" w:rsidRDefault="004D01C6" w:rsidP="00C54EA3">
      <w:pPr>
        <w:pStyle w:val="Heading1"/>
        <w:jc w:val="both"/>
        <w:rPr>
          <w:sz w:val="24"/>
          <w:szCs w:val="24"/>
          <w:lang w:eastAsia="en-GB"/>
        </w:rPr>
      </w:pPr>
      <w:bookmarkStart w:id="23" w:name="_Toc508203267"/>
      <w:r w:rsidRPr="00C54EA3">
        <w:rPr>
          <w:sz w:val="24"/>
          <w:szCs w:val="24"/>
          <w:lang w:eastAsia="en-GB"/>
        </w:rPr>
        <w:lastRenderedPageBreak/>
        <w:t>Review of the European Semester from a</w:t>
      </w:r>
      <w:r w:rsidR="001E4166" w:rsidRPr="00C54EA3">
        <w:rPr>
          <w:sz w:val="24"/>
          <w:szCs w:val="24"/>
          <w:lang w:eastAsia="en-GB"/>
        </w:rPr>
        <w:t xml:space="preserve"> disability perspective</w:t>
      </w:r>
      <w:bookmarkEnd w:id="23"/>
    </w:p>
    <w:p w14:paraId="2E922E04" w14:textId="77777777" w:rsidR="00A133EB" w:rsidRPr="00C54EA3" w:rsidRDefault="00A133EB" w:rsidP="00C54EA3">
      <w:pPr>
        <w:jc w:val="both"/>
        <w:rPr>
          <w:lang w:eastAsia="en-GB"/>
        </w:rPr>
      </w:pPr>
    </w:p>
    <w:p w14:paraId="38FC1224" w14:textId="77777777" w:rsidR="001E4166" w:rsidRPr="00C54EA3" w:rsidRDefault="006B7206" w:rsidP="00C54EA3">
      <w:pPr>
        <w:pStyle w:val="Heading2"/>
        <w:jc w:val="both"/>
        <w:rPr>
          <w:szCs w:val="24"/>
        </w:rPr>
      </w:pPr>
      <w:bookmarkStart w:id="24" w:name="_Toc508203268"/>
      <w:r w:rsidRPr="00C54EA3">
        <w:rPr>
          <w:szCs w:val="24"/>
        </w:rPr>
        <w:t>Progress on disability</w:t>
      </w:r>
      <w:r w:rsidR="00A14F67" w:rsidRPr="00C54EA3">
        <w:rPr>
          <w:szCs w:val="24"/>
        </w:rPr>
        <w:t xml:space="preserve">-specific </w:t>
      </w:r>
      <w:r w:rsidR="001E4166" w:rsidRPr="00C54EA3">
        <w:rPr>
          <w:szCs w:val="24"/>
        </w:rPr>
        <w:t xml:space="preserve">Country </w:t>
      </w:r>
      <w:r w:rsidR="00FA5809" w:rsidRPr="00C54EA3">
        <w:rPr>
          <w:szCs w:val="24"/>
        </w:rPr>
        <w:t>S</w:t>
      </w:r>
      <w:r w:rsidR="001E4166" w:rsidRPr="00C54EA3">
        <w:rPr>
          <w:szCs w:val="24"/>
        </w:rPr>
        <w:t xml:space="preserve">pecific </w:t>
      </w:r>
      <w:r w:rsidR="00FA5809" w:rsidRPr="00C54EA3">
        <w:rPr>
          <w:szCs w:val="24"/>
        </w:rPr>
        <w:t>R</w:t>
      </w:r>
      <w:r w:rsidR="001E4166" w:rsidRPr="00C54EA3">
        <w:rPr>
          <w:szCs w:val="24"/>
        </w:rPr>
        <w:t>ecommendations (CSRs)</w:t>
      </w:r>
      <w:bookmarkEnd w:id="24"/>
    </w:p>
    <w:p w14:paraId="3950BBE1" w14:textId="77777777" w:rsidR="001E4166" w:rsidRPr="00C54EA3" w:rsidRDefault="001E4166" w:rsidP="00C54EA3">
      <w:pPr>
        <w:jc w:val="both"/>
        <w:rPr>
          <w:lang w:eastAsia="en-GB"/>
        </w:rPr>
      </w:pPr>
    </w:p>
    <w:p w14:paraId="6944878B" w14:textId="6609525F" w:rsidR="00EC40D4" w:rsidRPr="00C54EA3" w:rsidRDefault="00454434" w:rsidP="00C54EA3">
      <w:pPr>
        <w:jc w:val="both"/>
        <w:rPr>
          <w:bCs/>
          <w:i/>
        </w:rPr>
      </w:pPr>
      <w:r w:rsidRPr="00C54EA3">
        <w:rPr>
          <w:bCs/>
          <w:lang w:eastAsia="en-GB"/>
        </w:rPr>
        <w:t xml:space="preserve">Compared to CSRs for Romania for </w:t>
      </w:r>
      <w:r w:rsidR="00532B53" w:rsidRPr="00C54EA3">
        <w:rPr>
          <w:bCs/>
          <w:lang w:eastAsia="en-GB"/>
        </w:rPr>
        <w:t>2016</w:t>
      </w:r>
      <w:r w:rsidR="00ED30B9" w:rsidRPr="00C54EA3">
        <w:rPr>
          <w:bCs/>
          <w:lang w:eastAsia="en-GB"/>
        </w:rPr>
        <w:t xml:space="preserve">, the </w:t>
      </w:r>
      <w:r w:rsidR="00532B53" w:rsidRPr="00C54EA3">
        <w:rPr>
          <w:bCs/>
          <w:lang w:eastAsia="en-GB"/>
        </w:rPr>
        <w:t xml:space="preserve">2017 </w:t>
      </w:r>
      <w:r w:rsidR="00ED30B9" w:rsidRPr="00C54EA3">
        <w:rPr>
          <w:bCs/>
          <w:lang w:eastAsia="en-GB"/>
        </w:rPr>
        <w:t>has</w:t>
      </w:r>
      <w:r w:rsidR="00EC40D4" w:rsidRPr="00C54EA3">
        <w:rPr>
          <w:bCs/>
          <w:lang w:eastAsia="en-GB"/>
        </w:rPr>
        <w:t xml:space="preserve"> </w:t>
      </w:r>
      <w:r w:rsidR="00532B53" w:rsidRPr="00C54EA3">
        <w:rPr>
          <w:bCs/>
          <w:lang w:eastAsia="en-GB"/>
        </w:rPr>
        <w:t xml:space="preserve">similar </w:t>
      </w:r>
      <w:r w:rsidR="00667453" w:rsidRPr="00C54EA3">
        <w:rPr>
          <w:bCs/>
          <w:lang w:eastAsia="en-GB"/>
        </w:rPr>
        <w:t>recommendation</w:t>
      </w:r>
      <w:r w:rsidR="00EC40D4" w:rsidRPr="00C54EA3">
        <w:rPr>
          <w:bCs/>
          <w:lang w:eastAsia="en-GB"/>
        </w:rPr>
        <w:t>s</w:t>
      </w:r>
      <w:r w:rsidR="00532B53" w:rsidRPr="00C54EA3">
        <w:rPr>
          <w:bCs/>
          <w:lang w:eastAsia="en-GB"/>
        </w:rPr>
        <w:t xml:space="preserve">, but compared to the previous year, the latest document </w:t>
      </w:r>
      <w:r w:rsidR="00A55697" w:rsidRPr="00C54EA3">
        <w:rPr>
          <w:bCs/>
          <w:lang w:eastAsia="en-GB"/>
        </w:rPr>
        <w:t>makes direct reference to</w:t>
      </w:r>
      <w:r w:rsidR="00532B53" w:rsidRPr="00C54EA3">
        <w:rPr>
          <w:bCs/>
          <w:lang w:eastAsia="en-GB"/>
        </w:rPr>
        <w:t xml:space="preserve"> disability</w:t>
      </w:r>
      <w:r w:rsidR="00A55697" w:rsidRPr="00C54EA3">
        <w:rPr>
          <w:bCs/>
          <w:lang w:eastAsia="en-GB"/>
        </w:rPr>
        <w:t>, as follows, with potential for follow up in the 2018 policy cycle.</w:t>
      </w:r>
      <w:r w:rsidR="00667453" w:rsidRPr="00C54EA3">
        <w:rPr>
          <w:bCs/>
          <w:lang w:eastAsia="en-GB"/>
        </w:rPr>
        <w:t xml:space="preserve">: </w:t>
      </w:r>
    </w:p>
    <w:p w14:paraId="0510D36A" w14:textId="77777777" w:rsidR="00FD0678" w:rsidRPr="00C54EA3" w:rsidRDefault="00FD0678" w:rsidP="00C54EA3">
      <w:pPr>
        <w:jc w:val="both"/>
        <w:rPr>
          <w:i/>
        </w:rPr>
      </w:pPr>
    </w:p>
    <w:p w14:paraId="718B3CE8" w14:textId="77777777" w:rsidR="00C672D4" w:rsidRPr="00C54EA3" w:rsidRDefault="00C672D4" w:rsidP="00C54EA3">
      <w:pPr>
        <w:ind w:left="720"/>
        <w:jc w:val="both"/>
        <w:rPr>
          <w:i/>
          <w:lang w:eastAsia="ro-RO"/>
        </w:rPr>
      </w:pPr>
      <w:r w:rsidRPr="00C54EA3">
        <w:rPr>
          <w:i/>
        </w:rPr>
        <w:t xml:space="preserve">Labour market outcomes improved in 2016, when the unemployment rate reached its pre-crisis low. The labour force continues to shrink, as the population is ageing and emigration remains high. Low unemployment is matched by one of the highest inactivity rates in the EU. </w:t>
      </w:r>
      <w:r w:rsidRPr="00C54EA3">
        <w:rPr>
          <w:b/>
          <w:bCs/>
          <w:i/>
        </w:rPr>
        <w:t xml:space="preserve">Employment and activity rates for young people, women, the low-skilled, people with disabilities and Roma </w:t>
      </w:r>
      <w:proofErr w:type="gramStart"/>
      <w:r w:rsidRPr="00C54EA3">
        <w:rPr>
          <w:b/>
          <w:bCs/>
          <w:i/>
        </w:rPr>
        <w:t>in particular are</w:t>
      </w:r>
      <w:proofErr w:type="gramEnd"/>
      <w:r w:rsidRPr="00C54EA3">
        <w:rPr>
          <w:b/>
          <w:bCs/>
          <w:i/>
        </w:rPr>
        <w:t xml:space="preserve"> well below the EU average</w:t>
      </w:r>
      <w:r w:rsidRPr="00C54EA3">
        <w:rPr>
          <w:i/>
        </w:rPr>
        <w:t>. The number of young people not in employment, education or training remains very high.</w:t>
      </w:r>
    </w:p>
    <w:p w14:paraId="05AC815A" w14:textId="77777777" w:rsidR="00C672D4" w:rsidRPr="00C54EA3" w:rsidRDefault="00C672D4" w:rsidP="00C54EA3">
      <w:pPr>
        <w:ind w:left="720"/>
        <w:jc w:val="both"/>
        <w:rPr>
          <w:i/>
        </w:rPr>
      </w:pPr>
    </w:p>
    <w:p w14:paraId="45EB10EB" w14:textId="77777777" w:rsidR="00C672D4" w:rsidRPr="00C54EA3" w:rsidRDefault="00C672D4" w:rsidP="00C54EA3">
      <w:pPr>
        <w:ind w:left="720"/>
        <w:jc w:val="both"/>
        <w:rPr>
          <w:i/>
        </w:rPr>
      </w:pPr>
      <w:r w:rsidRPr="00C54EA3">
        <w:rPr>
          <w:b/>
          <w:bCs/>
          <w:i/>
        </w:rPr>
        <w:t xml:space="preserve">Although declining, the risk of poverty or social exclusion has been very high, </w:t>
      </w:r>
      <w:proofErr w:type="gramStart"/>
      <w:r w:rsidRPr="00C54EA3">
        <w:rPr>
          <w:b/>
          <w:bCs/>
          <w:i/>
        </w:rPr>
        <w:t>in particular for</w:t>
      </w:r>
      <w:proofErr w:type="gramEnd"/>
      <w:r w:rsidRPr="00C54EA3">
        <w:rPr>
          <w:b/>
          <w:bCs/>
          <w:i/>
        </w:rPr>
        <w:t xml:space="preserve"> families with children, people with disabilities, Roma, and the rural population</w:t>
      </w:r>
      <w:r w:rsidRPr="00C54EA3">
        <w:rPr>
          <w:i/>
        </w:rPr>
        <w:t>. In 2016, a comprehensive anti-poverty package was adopted in a policy shift toward the enhanced provision of services catered to specific groups of the population. It envisages a pilot project setting up integrated services in marginalised communities. A nation-wide roll-out would significantly improve the currently low provision of integrated services. Addressing successive country-specific recommendations, the law on the minimum inclusion income was adopted, to enter into force in 2018. The minimum inclusion income increases the adequacy and coverage of social assistance. It combines passive support with compulsory active labour market measures and inspections. Its activation potential is modest though, as the target is to reach 25 % of the beneficiaries by active labour market policy measures by 2021.</w:t>
      </w:r>
    </w:p>
    <w:p w14:paraId="65F4DC30" w14:textId="77777777" w:rsidR="00C672D4" w:rsidRPr="00C54EA3" w:rsidRDefault="00C672D4" w:rsidP="00C54EA3">
      <w:pPr>
        <w:jc w:val="both"/>
      </w:pPr>
    </w:p>
    <w:p w14:paraId="7DB00EF3" w14:textId="77777777" w:rsidR="00C672D4" w:rsidRPr="00C54EA3" w:rsidRDefault="00A55697" w:rsidP="00C54EA3">
      <w:pPr>
        <w:jc w:val="both"/>
        <w:rPr>
          <w:iCs/>
        </w:rPr>
      </w:pPr>
      <w:r w:rsidRPr="00C54EA3">
        <w:rPr>
          <w:iCs/>
        </w:rPr>
        <w:t>These observations in the Recommendation from the Council are helpful in reinforcing the evidence presented in our report of the significant inequalities existing for persons with disabilities in Romania. It would be important to ensure that disability data is disaggregated when following up the monitoring of progress against these concerns during the next Semester reporting cycle.</w:t>
      </w:r>
    </w:p>
    <w:p w14:paraId="6E70D438" w14:textId="77777777" w:rsidR="0084580F" w:rsidRPr="00C54EA3" w:rsidRDefault="0084580F" w:rsidP="00C54EA3">
      <w:pPr>
        <w:jc w:val="both"/>
        <w:rPr>
          <w:lang w:eastAsia="en-GB"/>
        </w:rPr>
      </w:pPr>
    </w:p>
    <w:p w14:paraId="798A47CD" w14:textId="77777777" w:rsidR="006B7206" w:rsidRPr="00C54EA3" w:rsidRDefault="00A14F67" w:rsidP="00C54EA3">
      <w:pPr>
        <w:pStyle w:val="Heading2"/>
        <w:jc w:val="both"/>
        <w:rPr>
          <w:szCs w:val="24"/>
          <w:lang w:eastAsia="en-GB"/>
        </w:rPr>
      </w:pPr>
      <w:bookmarkStart w:id="25" w:name="_Toc508203269"/>
      <w:r w:rsidRPr="00C54EA3">
        <w:rPr>
          <w:szCs w:val="24"/>
          <w:lang w:eastAsia="en-GB"/>
        </w:rPr>
        <w:t>Progress on o</w:t>
      </w:r>
      <w:r w:rsidR="006B7206" w:rsidRPr="00C54EA3">
        <w:rPr>
          <w:szCs w:val="24"/>
          <w:lang w:eastAsia="en-GB"/>
        </w:rPr>
        <w:t xml:space="preserve">ther CSRs </w:t>
      </w:r>
      <w:r w:rsidRPr="00C54EA3">
        <w:rPr>
          <w:szCs w:val="24"/>
          <w:lang w:eastAsia="en-GB"/>
        </w:rPr>
        <w:t>from a</w:t>
      </w:r>
      <w:r w:rsidR="006B7206" w:rsidRPr="00C54EA3">
        <w:rPr>
          <w:szCs w:val="24"/>
          <w:lang w:eastAsia="en-GB"/>
        </w:rPr>
        <w:t xml:space="preserve"> disability perspective</w:t>
      </w:r>
      <w:bookmarkEnd w:id="25"/>
    </w:p>
    <w:p w14:paraId="48F16D32" w14:textId="77777777" w:rsidR="006B7206" w:rsidRPr="00C54EA3" w:rsidRDefault="006B7206" w:rsidP="00C54EA3">
      <w:pPr>
        <w:jc w:val="both"/>
        <w:rPr>
          <w:lang w:eastAsia="en-GB"/>
        </w:rPr>
      </w:pPr>
    </w:p>
    <w:p w14:paraId="70F6FC64" w14:textId="66033F1B" w:rsidR="000A4B59" w:rsidRPr="00C54EA3" w:rsidRDefault="00C672D4" w:rsidP="00C54EA3">
      <w:pPr>
        <w:jc w:val="both"/>
        <w:rPr>
          <w:lang w:eastAsia="en-GB"/>
        </w:rPr>
      </w:pPr>
      <w:r w:rsidRPr="00C54EA3">
        <w:rPr>
          <w:lang w:eastAsia="en-GB"/>
        </w:rPr>
        <w:t xml:space="preserve">The recommendations from the 2017 CSR </w:t>
      </w:r>
      <w:r w:rsidR="00D777B5" w:rsidRPr="00C54EA3">
        <w:rPr>
          <w:lang w:eastAsia="en-GB"/>
        </w:rPr>
        <w:t xml:space="preserve">are more specific compared to those from </w:t>
      </w:r>
      <w:r w:rsidR="00147355" w:rsidRPr="00C54EA3">
        <w:rPr>
          <w:lang w:eastAsia="en-GB"/>
        </w:rPr>
        <w:t>the 2016 CSR</w:t>
      </w:r>
      <w:r w:rsidR="00905BA5" w:rsidRPr="00C54EA3">
        <w:rPr>
          <w:lang w:eastAsia="en-GB"/>
        </w:rPr>
        <w:t>, being focused on employment and activity rate of disabled people, and further to the opportunities to surpass the risk of poverty and social exclusion.</w:t>
      </w:r>
    </w:p>
    <w:p w14:paraId="1C71172F" w14:textId="14EBF28A" w:rsidR="002B0BCE" w:rsidRPr="00C54EA3" w:rsidRDefault="002B0BCE" w:rsidP="00C54EA3">
      <w:pPr>
        <w:jc w:val="both"/>
        <w:rPr>
          <w:lang w:eastAsia="en-GB"/>
        </w:rPr>
      </w:pPr>
    </w:p>
    <w:p w14:paraId="39932B62" w14:textId="4EA683BA" w:rsidR="000572A6" w:rsidRPr="00C54EA3" w:rsidRDefault="005620B8" w:rsidP="00C54EA3">
      <w:pPr>
        <w:jc w:val="both"/>
        <w:rPr>
          <w:lang w:eastAsia="en-GB"/>
        </w:rPr>
      </w:pPr>
      <w:r w:rsidRPr="00C54EA3">
        <w:rPr>
          <w:lang w:eastAsia="en-GB"/>
        </w:rPr>
        <w:t xml:space="preserve">Even if the </w:t>
      </w:r>
      <w:r w:rsidR="007A1FB5" w:rsidRPr="00C54EA3">
        <w:rPr>
          <w:lang w:eastAsia="en-GB"/>
        </w:rPr>
        <w:t>National Employment Agency</w:t>
      </w:r>
      <w:r w:rsidRPr="00C54EA3">
        <w:rPr>
          <w:lang w:eastAsia="en-GB"/>
        </w:rPr>
        <w:t>’s objective</w:t>
      </w:r>
      <w:r w:rsidR="007A1FB5" w:rsidRPr="00C54EA3">
        <w:rPr>
          <w:lang w:eastAsia="en-GB"/>
        </w:rPr>
        <w:t xml:space="preserve"> </w:t>
      </w:r>
      <w:r w:rsidRPr="00C54EA3">
        <w:rPr>
          <w:lang w:eastAsia="en-GB"/>
        </w:rPr>
        <w:t>is an always higher employment rate, only 0,15</w:t>
      </w:r>
      <w:r w:rsidR="00FD0678" w:rsidRPr="00C54EA3">
        <w:rPr>
          <w:lang w:eastAsia="en-GB"/>
        </w:rPr>
        <w:t xml:space="preserve"> </w:t>
      </w:r>
      <w:r w:rsidRPr="00C54EA3">
        <w:rPr>
          <w:lang w:eastAsia="en-GB"/>
        </w:rPr>
        <w:t xml:space="preserve">% of those that benefited from professional training were disabled </w:t>
      </w:r>
      <w:r w:rsidRPr="00C54EA3">
        <w:rPr>
          <w:lang w:eastAsia="en-GB"/>
        </w:rPr>
        <w:lastRenderedPageBreak/>
        <w:t xml:space="preserve">people. </w:t>
      </w:r>
      <w:r w:rsidR="00905BA5" w:rsidRPr="00C54EA3">
        <w:rPr>
          <w:lang w:eastAsia="en-GB"/>
        </w:rPr>
        <w:t>The situation also changed in terms of employment, as 2.000 people with disabilities are expected to lose their jobs starting September 2017, due to the changes brought to the Law no. 448/2006 – protected units will lose their fiscal and economic advantages, thus being vulnerable to bankruptcy</w:t>
      </w:r>
      <w:r w:rsidR="0049128C" w:rsidRPr="00C54EA3">
        <w:rPr>
          <w:lang w:eastAsia="en-GB"/>
        </w:rPr>
        <w:t>, despite the state offering higher disability indemnity and social benefits</w:t>
      </w:r>
      <w:r w:rsidR="00905BA5" w:rsidRPr="00C54EA3">
        <w:rPr>
          <w:lang w:eastAsia="en-GB"/>
        </w:rPr>
        <w:t xml:space="preserve">. To this issue we can add the changes </w:t>
      </w:r>
      <w:r w:rsidR="00065B25" w:rsidRPr="00C54EA3">
        <w:rPr>
          <w:lang w:eastAsia="en-GB"/>
        </w:rPr>
        <w:t xml:space="preserve">on health and pensions taxes brought to the Fiscal Code - that employers are to pay for each employee the full contributions to health insurance and pensions, no matter the hours worked. Although the Government said the changes are not to affect people with disabilities (employers being excepted from the law for this type of workers), there is still a high fiscal pressure on employers. </w:t>
      </w:r>
    </w:p>
    <w:p w14:paraId="1E2C739D" w14:textId="77777777" w:rsidR="00FD0678" w:rsidRPr="00C54EA3" w:rsidRDefault="00FD0678" w:rsidP="00C54EA3">
      <w:pPr>
        <w:jc w:val="both"/>
      </w:pPr>
    </w:p>
    <w:p w14:paraId="2A5C1FC9" w14:textId="77777777" w:rsidR="006B7206" w:rsidRPr="00C54EA3" w:rsidRDefault="006B7206" w:rsidP="00C54EA3">
      <w:pPr>
        <w:pStyle w:val="Heading2"/>
        <w:jc w:val="both"/>
        <w:rPr>
          <w:szCs w:val="24"/>
          <w:lang w:eastAsia="en-GB"/>
        </w:rPr>
      </w:pPr>
      <w:bookmarkStart w:id="26" w:name="_Toc508203270"/>
      <w:r w:rsidRPr="00C54EA3">
        <w:rPr>
          <w:szCs w:val="24"/>
          <w:lang w:eastAsia="en-GB"/>
        </w:rPr>
        <w:t xml:space="preserve">Assessment of disability issues in the </w:t>
      </w:r>
      <w:r w:rsidR="00A14F67" w:rsidRPr="00C54EA3">
        <w:rPr>
          <w:szCs w:val="24"/>
          <w:lang w:eastAsia="en-GB"/>
        </w:rPr>
        <w:t>Country Report</w:t>
      </w:r>
      <w:r w:rsidR="008D2A5F" w:rsidRPr="00C54EA3">
        <w:rPr>
          <w:szCs w:val="24"/>
          <w:lang w:eastAsia="en-GB"/>
        </w:rPr>
        <w:t xml:space="preserve"> (</w:t>
      </w:r>
      <w:r w:rsidR="00A14F67" w:rsidRPr="00C54EA3">
        <w:rPr>
          <w:szCs w:val="24"/>
          <w:lang w:eastAsia="en-GB"/>
        </w:rPr>
        <w:t>CR</w:t>
      </w:r>
      <w:r w:rsidR="008D2A5F" w:rsidRPr="00C54EA3">
        <w:rPr>
          <w:szCs w:val="24"/>
          <w:lang w:eastAsia="en-GB"/>
        </w:rPr>
        <w:t>)</w:t>
      </w:r>
      <w:bookmarkEnd w:id="26"/>
    </w:p>
    <w:p w14:paraId="2B3C1C04" w14:textId="77777777" w:rsidR="004515AA" w:rsidRPr="00C54EA3" w:rsidRDefault="004515AA" w:rsidP="00C54EA3">
      <w:pPr>
        <w:jc w:val="both"/>
        <w:rPr>
          <w:lang w:eastAsia="en-GB"/>
        </w:rPr>
      </w:pPr>
    </w:p>
    <w:p w14:paraId="69C120B8" w14:textId="6EE32F29" w:rsidR="0049128C" w:rsidRPr="00C54EA3" w:rsidRDefault="00341E64" w:rsidP="00C54EA3">
      <w:pPr>
        <w:jc w:val="both"/>
        <w:rPr>
          <w:color w:val="212121"/>
          <w:shd w:val="clear" w:color="auto" w:fill="FFFFFF"/>
        </w:rPr>
      </w:pPr>
      <w:r w:rsidRPr="00C54EA3">
        <w:rPr>
          <w:lang w:eastAsia="en-GB"/>
        </w:rPr>
        <w:t xml:space="preserve">The Report notes that </w:t>
      </w:r>
      <w:r w:rsidR="0049128C" w:rsidRPr="00C54EA3">
        <w:rPr>
          <w:color w:val="212121"/>
          <w:shd w:val="clear" w:color="auto" w:fill="FFFFFF"/>
        </w:rPr>
        <w:t>c</w:t>
      </w:r>
      <w:r w:rsidR="0049128C" w:rsidRPr="00C54EA3">
        <w:t>omprehensive reforms started in 2016, but unused labour potential is limiting growth. The public employment service was reinforced and active labour market policies are now substantially bette</w:t>
      </w:r>
      <w:r w:rsidR="004201EA" w:rsidRPr="00C54EA3">
        <w:t>r targeted to inactive groups, but, h</w:t>
      </w:r>
      <w:r w:rsidR="0049128C" w:rsidRPr="00C54EA3">
        <w:t xml:space="preserve">owever, employment and activity rates </w:t>
      </w:r>
      <w:r w:rsidR="004201EA" w:rsidRPr="00C54EA3">
        <w:t>for</w:t>
      </w:r>
      <w:r w:rsidR="0049128C" w:rsidRPr="00C54EA3">
        <w:t xml:space="preserve"> people with disabilities remain below the EU average</w:t>
      </w:r>
      <w:r w:rsidR="00A04EA5" w:rsidRPr="00C54EA3">
        <w:t xml:space="preserve"> and we can expect for the to drop even lower due to the legislation framework changes</w:t>
      </w:r>
      <w:r w:rsidR="0049128C" w:rsidRPr="00C54EA3">
        <w:t>. The provision of active labour market policies an</w:t>
      </w:r>
      <w:r w:rsidR="00A04EA5" w:rsidRPr="00C54EA3">
        <w:t xml:space="preserve">d their link to social services </w:t>
      </w:r>
      <w:r w:rsidR="0049128C" w:rsidRPr="00C54EA3">
        <w:t>is not yet sufficient to reverse this trend. Despite reinforced joint controls, undeclared work remains prevalent, also reducing both labour supply and fiscal revenue. Work on a minimum wage setting mechanism is underway, but minimum wages were already raised in February 2017</w:t>
      </w:r>
      <w:r w:rsidR="00A04EA5" w:rsidRPr="00C54EA3">
        <w:t xml:space="preserve"> and are expected to raise one again in</w:t>
      </w:r>
      <w:r w:rsidR="00CD617C" w:rsidRPr="00C54EA3">
        <w:t xml:space="preserve"> 2018. Still, the high pressure put on the employers in terms of taxes to be pay to each employee might have an impact on the employment rate, leading to a raise in undeclared work rate.</w:t>
      </w:r>
    </w:p>
    <w:p w14:paraId="3111257C" w14:textId="77777777" w:rsidR="0049128C" w:rsidRPr="00C54EA3" w:rsidRDefault="0049128C" w:rsidP="00C54EA3">
      <w:pPr>
        <w:jc w:val="both"/>
      </w:pPr>
    </w:p>
    <w:p w14:paraId="79D7DC70" w14:textId="7240517A" w:rsidR="0049128C" w:rsidRPr="00C54EA3" w:rsidRDefault="0049128C" w:rsidP="00C54EA3">
      <w:pPr>
        <w:jc w:val="both"/>
      </w:pPr>
      <w:r w:rsidRPr="00C54EA3">
        <w:t xml:space="preserve">Poverty is declining, but </w:t>
      </w:r>
      <w:r w:rsidR="00A11A79" w:rsidRPr="00C54EA3">
        <w:t>high-income</w:t>
      </w:r>
      <w:r w:rsidRPr="00C54EA3">
        <w:t xml:space="preserve"> inequality persists. Romania has one of the highest levels of income inequality in the EU and rising, partially driven by decreasing redistributive effects of the tax and transfer system. Although poverty rates are declining, poverty and social exclusion persist for </w:t>
      </w:r>
      <w:r w:rsidR="00CD617C" w:rsidRPr="00C54EA3">
        <w:t>people with disabilities, even for those active in the labour market</w:t>
      </w:r>
      <w:r w:rsidRPr="00C54EA3">
        <w:t>. A change towards more integrated services targeted to disadvantaged groups is planned, as the provision of these services is low.</w:t>
      </w:r>
    </w:p>
    <w:p w14:paraId="69309F15" w14:textId="77777777" w:rsidR="0049128C" w:rsidRPr="00C54EA3" w:rsidRDefault="0049128C" w:rsidP="00C54EA3">
      <w:pPr>
        <w:jc w:val="both"/>
      </w:pPr>
    </w:p>
    <w:p w14:paraId="0953E623" w14:textId="77777777" w:rsidR="0049128C" w:rsidRPr="00C54EA3" w:rsidRDefault="0049128C" w:rsidP="00C54EA3">
      <w:pPr>
        <w:jc w:val="both"/>
      </w:pPr>
      <w:r w:rsidRPr="00C54EA3">
        <w:t>The rising share of early school leavers poses an additional challenge. In 2015 the proportion of early school leavers rose to 19.1 %, the third highest in the EU, and is particularly high for people with disabilities. This trend is driven by poverty and insufficient provision of quality educa</w:t>
      </w:r>
      <w:r w:rsidR="00CD617C" w:rsidRPr="00C54EA3">
        <w:t>tion (European Commission, 2016</w:t>
      </w:r>
      <w:r w:rsidRPr="00C54EA3">
        <w:t>. National scale European Social Fund projects were launched to reduce early school leaving. The availability of second-chance programmes has increased, but remains insufficient (European Commissi</w:t>
      </w:r>
      <w:r w:rsidR="00CD617C" w:rsidRPr="00C54EA3">
        <w:t>on 2016</w:t>
      </w:r>
      <w:r w:rsidRPr="00C54EA3">
        <w:t>).</w:t>
      </w:r>
      <w:r w:rsidR="00CD617C" w:rsidRPr="00C54EA3">
        <w:t xml:space="preserve"> A major problem consists in the lack of accessibility on school for children with disability and the high bureaucracy needed to adapt school so as they could be suitable for those with disabilities.</w:t>
      </w:r>
    </w:p>
    <w:p w14:paraId="72B089B4" w14:textId="77777777" w:rsidR="0049128C" w:rsidRPr="00C54EA3" w:rsidRDefault="0049128C" w:rsidP="00C54EA3">
      <w:pPr>
        <w:jc w:val="both"/>
      </w:pPr>
    </w:p>
    <w:p w14:paraId="799FB90C" w14:textId="77777777" w:rsidR="0049128C" w:rsidRPr="00C54EA3" w:rsidRDefault="0049128C" w:rsidP="00C54EA3">
      <w:pPr>
        <w:jc w:val="both"/>
      </w:pPr>
      <w:r w:rsidRPr="00C54EA3">
        <w:t xml:space="preserve">Poverty and social exclusion </w:t>
      </w:r>
      <w:r w:rsidR="00CD617C" w:rsidRPr="00C54EA3">
        <w:t xml:space="preserve">remain high. Although declining, </w:t>
      </w:r>
      <w:r w:rsidRPr="00C54EA3">
        <w:t xml:space="preserve">a high risk of poverty or social exclusion persists for people with disabilities. Compared with urban areas, twice </w:t>
      </w:r>
      <w:r w:rsidRPr="00C54EA3">
        <w:lastRenderedPageBreak/>
        <w:t>as many people in rural areas live in marginalised communities confronted with housing, employment and soci</w:t>
      </w:r>
      <w:r w:rsidR="00CD617C" w:rsidRPr="00C54EA3">
        <w:t>al challenges (World Bank, 2014</w:t>
      </w:r>
      <w:r w:rsidRPr="00C54EA3">
        <w:t>). The share of poor people who live in very bad quality housing and spend over 40 % of their incomes on housing is one of the highest in the EU. In-work poverty (with a rate double the EU average) stems from the high share of unremunerated family workers in rural areas. Finally, Romania has one of the highest levels of income i</w:t>
      </w:r>
      <w:r w:rsidR="00CD617C" w:rsidRPr="00C54EA3">
        <w:t xml:space="preserve">nequality in the EU and rising. Despite several increases previsioned for 2018 in terms of social benefits and disability indemnity, it is unlikely for the inequalities to drop. </w:t>
      </w:r>
    </w:p>
    <w:p w14:paraId="0F07AE42" w14:textId="77777777" w:rsidR="00FD0678" w:rsidRPr="00C54EA3" w:rsidRDefault="00FD0678" w:rsidP="00C54EA3">
      <w:pPr>
        <w:autoSpaceDE w:val="0"/>
        <w:autoSpaceDN w:val="0"/>
        <w:adjustRightInd w:val="0"/>
        <w:jc w:val="both"/>
        <w:rPr>
          <w:lang w:eastAsia="en-GB"/>
        </w:rPr>
      </w:pPr>
    </w:p>
    <w:p w14:paraId="34B4CF67" w14:textId="352DF3F5" w:rsidR="00015E1A" w:rsidRPr="00C54EA3" w:rsidRDefault="00EC3886" w:rsidP="00C54EA3">
      <w:pPr>
        <w:autoSpaceDE w:val="0"/>
        <w:autoSpaceDN w:val="0"/>
        <w:adjustRightInd w:val="0"/>
        <w:jc w:val="both"/>
      </w:pPr>
      <w:r w:rsidRPr="00C54EA3">
        <w:rPr>
          <w:b/>
          <w:bCs/>
        </w:rPr>
        <w:t>The transition from institutional to alternativ</w:t>
      </w:r>
      <w:r w:rsidR="00015E1A" w:rsidRPr="00C54EA3">
        <w:rPr>
          <w:b/>
          <w:bCs/>
        </w:rPr>
        <w:t>e</w:t>
      </w:r>
      <w:r w:rsidRPr="00C54EA3">
        <w:rPr>
          <w:b/>
          <w:bCs/>
        </w:rPr>
        <w:t xml:space="preserve"> care for children deprived of parental care is progressing slowly. </w:t>
      </w:r>
      <w:r w:rsidRPr="00C54EA3">
        <w:t xml:space="preserve">Although a system of foster families is in place, a large proportion of children in the child protection system is hosted in old-style residential institutions (41). Similarly, there </w:t>
      </w:r>
      <w:r w:rsidR="005C3BBD" w:rsidRPr="00C54EA3">
        <w:t>are</w:t>
      </w:r>
      <w:r w:rsidRPr="00C54EA3">
        <w:t xml:space="preserve"> still a</w:t>
      </w:r>
      <w:r w:rsidR="00015E1A" w:rsidRPr="00C54EA3">
        <w:t xml:space="preserve"> </w:t>
      </w:r>
      <w:r w:rsidRPr="00C54EA3">
        <w:t>high number of persons with disabilities in larg</w:t>
      </w:r>
      <w:r w:rsidR="005C3BBD" w:rsidRPr="00C54EA3">
        <w:t>e</w:t>
      </w:r>
      <w:r w:rsidRPr="00C54EA3">
        <w:t xml:space="preserve"> residential institutions, while community services</w:t>
      </w:r>
      <w:r w:rsidR="00015E1A" w:rsidRPr="00C54EA3">
        <w:t xml:space="preserve"> </w:t>
      </w:r>
      <w:r w:rsidRPr="00C54EA3">
        <w:t>for the disabled are not sufficiently developed. The total number of children (including those with</w:t>
      </w:r>
      <w:r w:rsidR="00015E1A" w:rsidRPr="00C54EA3">
        <w:t xml:space="preserve"> </w:t>
      </w:r>
      <w:r w:rsidRPr="00C54EA3">
        <w:t xml:space="preserve">disabilities) placed in the child protection system decreased </w:t>
      </w:r>
      <w:r w:rsidR="00792422" w:rsidRPr="00C54EA3">
        <w:t xml:space="preserve">since 2012, recent reports from Ministry of Labour </w:t>
      </w:r>
      <w:r w:rsidR="0003279B" w:rsidRPr="00C54EA3">
        <w:t xml:space="preserve">and Social Justice </w:t>
      </w:r>
      <w:r w:rsidR="00792422" w:rsidRPr="00C54EA3">
        <w:t xml:space="preserve">sustaining that by June </w:t>
      </w:r>
      <w:r w:rsidR="00CD617C" w:rsidRPr="00C54EA3">
        <w:t>2017</w:t>
      </w:r>
      <w:r w:rsidR="00792422" w:rsidRPr="00C54EA3">
        <w:t xml:space="preserve">, only </w:t>
      </w:r>
      <w:r w:rsidR="00CD617C" w:rsidRPr="00C54EA3">
        <w:t xml:space="preserve">2 </w:t>
      </w:r>
      <w:r w:rsidR="00792422" w:rsidRPr="00C54EA3">
        <w:t>children are placed</w:t>
      </w:r>
      <w:r w:rsidR="00263515" w:rsidRPr="00C54EA3">
        <w:t xml:space="preserve"> in institutional care,</w:t>
      </w:r>
      <w:r w:rsidR="00792422" w:rsidRPr="00C54EA3">
        <w:t xml:space="preserve"> </w:t>
      </w:r>
      <w:r w:rsidR="00880534" w:rsidRPr="00C54EA3">
        <w:t xml:space="preserve">in social assistance centres for the </w:t>
      </w:r>
      <w:r w:rsidR="00FD0678" w:rsidRPr="00C54EA3">
        <w:t>adult persons with disabilities</w:t>
      </w:r>
      <w:r w:rsidR="00015E1A" w:rsidRPr="00C54EA3">
        <w:t xml:space="preserve">, as well as a total number of </w:t>
      </w:r>
      <w:r w:rsidR="00A326EB" w:rsidRPr="00C54EA3">
        <w:t>17.969</w:t>
      </w:r>
      <w:r w:rsidR="003124E6" w:rsidRPr="00C54EA3">
        <w:t xml:space="preserve"> </w:t>
      </w:r>
      <w:r w:rsidR="00015E1A" w:rsidRPr="00C54EA3">
        <w:t>adults with disabilities (2,</w:t>
      </w:r>
      <w:r w:rsidR="00A326EB" w:rsidRPr="00C54EA3">
        <w:t xml:space="preserve">28 </w:t>
      </w:r>
      <w:r w:rsidR="00015E1A" w:rsidRPr="00C54EA3">
        <w:t xml:space="preserve">% of the total number of </w:t>
      </w:r>
      <w:proofErr w:type="spellStart"/>
      <w:r w:rsidR="00015E1A" w:rsidRPr="00C54EA3">
        <w:t>PwD</w:t>
      </w:r>
      <w:proofErr w:type="spellEnd"/>
      <w:r w:rsidR="00A326EB" w:rsidRPr="00C54EA3">
        <w:t>, compared to 2,3% the previous year</w:t>
      </w:r>
      <w:r w:rsidR="00A133EB" w:rsidRPr="00C54EA3">
        <w:t>).</w:t>
      </w:r>
      <w:r w:rsidR="00A96100" w:rsidRPr="00C54EA3">
        <w:rPr>
          <w:rStyle w:val="FootnoteReference"/>
        </w:rPr>
        <w:footnoteReference w:id="44"/>
      </w:r>
      <w:r w:rsidR="00015E1A" w:rsidRPr="00C54EA3">
        <w:t xml:space="preserve"> </w:t>
      </w:r>
    </w:p>
    <w:p w14:paraId="17856974" w14:textId="77777777" w:rsidR="00015E1A" w:rsidRPr="00C54EA3" w:rsidRDefault="00015E1A" w:rsidP="00C54EA3">
      <w:pPr>
        <w:autoSpaceDE w:val="0"/>
        <w:autoSpaceDN w:val="0"/>
        <w:adjustRightInd w:val="0"/>
        <w:jc w:val="both"/>
      </w:pPr>
    </w:p>
    <w:p w14:paraId="742B421B" w14:textId="77777777" w:rsidR="006B7206" w:rsidRPr="00C54EA3" w:rsidRDefault="006B7206" w:rsidP="00C54EA3">
      <w:pPr>
        <w:pStyle w:val="Heading1"/>
        <w:jc w:val="both"/>
        <w:rPr>
          <w:sz w:val="24"/>
          <w:szCs w:val="24"/>
          <w:lang w:eastAsia="en-GB"/>
        </w:rPr>
      </w:pPr>
      <w:bookmarkStart w:id="27" w:name="_Toc508203271"/>
      <w:r w:rsidRPr="00C54EA3">
        <w:rPr>
          <w:sz w:val="24"/>
          <w:szCs w:val="24"/>
          <w:lang w:eastAsia="en-GB"/>
        </w:rPr>
        <w:lastRenderedPageBreak/>
        <w:t>Assessment of the structural funds ESIF 2014-2020 or other relevant funds</w:t>
      </w:r>
      <w:r w:rsidR="001335A3" w:rsidRPr="00C54EA3">
        <w:rPr>
          <w:sz w:val="24"/>
          <w:szCs w:val="24"/>
        </w:rPr>
        <w:t xml:space="preserve"> </w:t>
      </w:r>
      <w:r w:rsidR="001335A3" w:rsidRPr="00C54EA3">
        <w:rPr>
          <w:sz w:val="24"/>
          <w:szCs w:val="24"/>
          <w:lang w:eastAsia="en-GB"/>
        </w:rPr>
        <w:t>in relation to disability challenges</w:t>
      </w:r>
      <w:bookmarkEnd w:id="27"/>
    </w:p>
    <w:p w14:paraId="3A940423" w14:textId="77777777" w:rsidR="00A133EB" w:rsidRPr="00C54EA3" w:rsidRDefault="00A133EB" w:rsidP="00C54EA3">
      <w:pPr>
        <w:jc w:val="both"/>
        <w:rPr>
          <w:lang w:eastAsia="en-GB"/>
        </w:rPr>
      </w:pPr>
    </w:p>
    <w:p w14:paraId="5B6F9625" w14:textId="77777777" w:rsidR="006C3C5B" w:rsidRPr="00C54EA3" w:rsidRDefault="006C3C5B" w:rsidP="00C54EA3">
      <w:pPr>
        <w:jc w:val="both"/>
      </w:pPr>
      <w:r w:rsidRPr="00C54EA3">
        <w:t>Romania had an overall financial allocation of 19</w:t>
      </w:r>
      <w:r w:rsidR="00FD225F" w:rsidRPr="00C54EA3">
        <w:t>.</w:t>
      </w:r>
      <w:r w:rsidRPr="00C54EA3">
        <w:t xml:space="preserve">7 billion euro for the period 2007 – 2013, with an absorption rate of </w:t>
      </w:r>
      <w:r w:rsidR="00147355" w:rsidRPr="00C54EA3">
        <w:t>-71,76%</w:t>
      </w:r>
      <w:r w:rsidR="00FD0678" w:rsidRPr="00C54EA3">
        <w:t>.</w:t>
      </w:r>
      <w:r w:rsidR="00147355" w:rsidRPr="00C54EA3">
        <w:rPr>
          <w:rStyle w:val="FootnoteReference"/>
        </w:rPr>
        <w:footnoteReference w:id="45"/>
      </w:r>
      <w:r w:rsidRPr="00C54EA3">
        <w:t xml:space="preserve"> A significant share of these funds – approx. 30% (both from ESF and ERDF) were allocated for promoting the social inclusion of vulnerable groups (women, ethnic minorities, people with disabilities) who are at </w:t>
      </w:r>
      <w:r w:rsidR="00FD225F" w:rsidRPr="00C54EA3">
        <w:t xml:space="preserve">a </w:t>
      </w:r>
      <w:r w:rsidRPr="00C54EA3">
        <w:t>disadvantage in the labo</w:t>
      </w:r>
      <w:r w:rsidR="00FD225F" w:rsidRPr="00C54EA3">
        <w:t>u</w:t>
      </w:r>
      <w:r w:rsidRPr="00C54EA3">
        <w:t xml:space="preserve">r market or do not have access to basic services such as health, social and related services. </w:t>
      </w:r>
    </w:p>
    <w:p w14:paraId="62DFE4B4" w14:textId="77777777" w:rsidR="006C3C5B" w:rsidRPr="00C54EA3" w:rsidRDefault="006C3C5B" w:rsidP="00C54EA3">
      <w:pPr>
        <w:jc w:val="both"/>
      </w:pPr>
    </w:p>
    <w:p w14:paraId="4255B05F" w14:textId="542C65DC" w:rsidR="006C3C5B" w:rsidRPr="00C54EA3" w:rsidRDefault="006C3C5B" w:rsidP="00C54EA3">
      <w:pPr>
        <w:jc w:val="both"/>
      </w:pPr>
      <w:r w:rsidRPr="00C54EA3">
        <w:t>Assessment of the impact of the use of Structural Funds for improving the quality of life of vulnerable groups, particularly concern</w:t>
      </w:r>
      <w:r w:rsidR="00FD225F" w:rsidRPr="00C54EA3">
        <w:t>ing</w:t>
      </w:r>
      <w:r w:rsidRPr="00C54EA3">
        <w:t xml:space="preserve"> </w:t>
      </w:r>
      <w:r w:rsidRPr="00C54EA3">
        <w:rPr>
          <w:i/>
        </w:rPr>
        <w:t xml:space="preserve">soft </w:t>
      </w:r>
      <w:r w:rsidRPr="00C54EA3">
        <w:t>investments (e.g. development of human capital, access to labo</w:t>
      </w:r>
      <w:r w:rsidR="00FD225F" w:rsidRPr="00C54EA3">
        <w:t>u</w:t>
      </w:r>
      <w:r w:rsidRPr="00C54EA3">
        <w:t>r market etc.) is still on-going</w:t>
      </w:r>
      <w:r w:rsidR="00FD225F" w:rsidRPr="00C54EA3">
        <w:t>.</w:t>
      </w:r>
      <w:r w:rsidRPr="00C54EA3">
        <w:t xml:space="preserve"> </w:t>
      </w:r>
      <w:r w:rsidR="00FD225F" w:rsidRPr="00C54EA3">
        <w:t>H</w:t>
      </w:r>
      <w:r w:rsidRPr="00C54EA3">
        <w:t xml:space="preserve">owever, with regards to the </w:t>
      </w:r>
      <w:r w:rsidRPr="00C54EA3">
        <w:rPr>
          <w:i/>
        </w:rPr>
        <w:t xml:space="preserve">hard investment </w:t>
      </w:r>
      <w:r w:rsidRPr="00C54EA3">
        <w:t>(mainly social infrastructure and housing built with ERDF money) aimed at supporting social inclusion of vulnerable groups, Romania has missed its first opportunity of using the EU funds for engaging in a genuine reform of the social care system. Moreover</w:t>
      </w:r>
      <w:r w:rsidR="00B64B3C">
        <w:t>,</w:t>
      </w:r>
      <w:r w:rsidRPr="00C54EA3">
        <w:t xml:space="preserve"> it has continued to support investments which </w:t>
      </w:r>
      <w:r w:rsidR="00FD225F" w:rsidRPr="00C54EA3">
        <w:t>are</w:t>
      </w:r>
      <w:r w:rsidRPr="00C54EA3">
        <w:t xml:space="preserve"> contrary to the commitments that the country undert</w:t>
      </w:r>
      <w:r w:rsidR="00FD225F" w:rsidRPr="00C54EA3">
        <w:t>ook</w:t>
      </w:r>
      <w:r w:rsidRPr="00C54EA3">
        <w:t xml:space="preserve"> when it ratified the UN Convention for the Rights of People with Disabilities (CRDP) in 2010, several months prior to ratification by the European Commission. </w:t>
      </w:r>
    </w:p>
    <w:p w14:paraId="6C5C0453" w14:textId="77777777" w:rsidR="006C3C5B" w:rsidRPr="00C54EA3" w:rsidRDefault="006C3C5B" w:rsidP="00C54EA3">
      <w:pPr>
        <w:jc w:val="both"/>
      </w:pPr>
    </w:p>
    <w:p w14:paraId="211EDFDC" w14:textId="77777777" w:rsidR="006C3C5B" w:rsidRPr="00C54EA3" w:rsidRDefault="006C3C5B" w:rsidP="00C54EA3">
      <w:pPr>
        <w:jc w:val="both"/>
      </w:pPr>
      <w:r w:rsidRPr="00C54EA3">
        <w:t xml:space="preserve">Specifically, </w:t>
      </w:r>
      <w:r w:rsidRPr="00C54EA3">
        <w:rPr>
          <w:b/>
        </w:rPr>
        <w:t>Romania has invested approximately 40 million euro</w:t>
      </w:r>
      <w:r w:rsidRPr="00B86AF4">
        <w:rPr>
          <w:rStyle w:val="FootnoteReference"/>
        </w:rPr>
        <w:footnoteReference w:id="46"/>
      </w:r>
      <w:r w:rsidRPr="00B86AF4">
        <w:t xml:space="preserve"> </w:t>
      </w:r>
      <w:r w:rsidRPr="00C54EA3">
        <w:rPr>
          <w:b/>
        </w:rPr>
        <w:t>from the Regional Operational Program</w:t>
      </w:r>
      <w:r w:rsidRPr="00B86AF4">
        <w:rPr>
          <w:rStyle w:val="FootnoteReference"/>
        </w:rPr>
        <w:footnoteReference w:id="47"/>
      </w:r>
      <w:r w:rsidRPr="00B86AF4">
        <w:t xml:space="preserve"> </w:t>
      </w:r>
      <w:r w:rsidRPr="00C54EA3">
        <w:rPr>
          <w:b/>
        </w:rPr>
        <w:t xml:space="preserve">for </w:t>
      </w:r>
      <w:r w:rsidRPr="00C54EA3">
        <w:rPr>
          <w:b/>
          <w:i/>
        </w:rPr>
        <w:t>rehabilitation/modernization/expa</w:t>
      </w:r>
      <w:r w:rsidR="00A133EB" w:rsidRPr="00C54EA3">
        <w:rPr>
          <w:b/>
          <w:i/>
        </w:rPr>
        <w:t>nsion of more than a quarter of</w:t>
      </w:r>
      <w:r w:rsidRPr="00C54EA3">
        <w:rPr>
          <w:b/>
          <w:i/>
        </w:rPr>
        <w:t xml:space="preserve"> Romania’s large residential institutions where over 17,000 adults with disabilities live</w:t>
      </w:r>
      <w:r w:rsidR="00A133EB" w:rsidRPr="00C54EA3">
        <w:rPr>
          <w:i/>
        </w:rPr>
        <w:t>,</w:t>
      </w:r>
      <w:r w:rsidRPr="00B86AF4">
        <w:rPr>
          <w:rStyle w:val="FootnoteReference"/>
        </w:rPr>
        <w:footnoteReference w:id="48"/>
      </w:r>
      <w:r w:rsidRPr="00C54EA3">
        <w:t xml:space="preserve"> thus perpetuating with EU funds the institutionalization of people with disabilities, which is contrary to the CRPD. According to Article 19 of the CRPD people with disabilities have the right independently, included in the community with choices equal to everyone else, and to receive services according to their needs.</w:t>
      </w:r>
    </w:p>
    <w:p w14:paraId="387ED091" w14:textId="77777777" w:rsidR="006C3C5B" w:rsidRPr="00C54EA3" w:rsidRDefault="006C3C5B" w:rsidP="00C54EA3">
      <w:pPr>
        <w:jc w:val="both"/>
      </w:pPr>
    </w:p>
    <w:p w14:paraId="741415C0" w14:textId="3EF4D7D8" w:rsidR="006C3C5B" w:rsidRPr="00C54EA3" w:rsidRDefault="006C3C5B" w:rsidP="00C54EA3">
      <w:pPr>
        <w:jc w:val="both"/>
      </w:pPr>
      <w:r w:rsidRPr="00C54EA3">
        <w:t>The new programming period of ESIF 2014</w:t>
      </w:r>
      <w:r w:rsidR="008D0EC1" w:rsidRPr="00C54EA3">
        <w:t>-</w:t>
      </w:r>
      <w:r w:rsidRPr="00C54EA3">
        <w:t xml:space="preserve">2020 brings a different perspective, as the responsibilities of Member States for implementing the principles of the UN Convention for the Rights of Persons with Disabilities are acknowledged explicitly through several documents: </w:t>
      </w:r>
    </w:p>
    <w:p w14:paraId="4193671A" w14:textId="77777777" w:rsidR="00FB2216" w:rsidRPr="00C54EA3" w:rsidRDefault="00FB2216" w:rsidP="00C54EA3">
      <w:pPr>
        <w:jc w:val="both"/>
      </w:pPr>
    </w:p>
    <w:p w14:paraId="4EE73021" w14:textId="77777777" w:rsidR="006C3C5B" w:rsidRPr="00C54EA3" w:rsidRDefault="00905165" w:rsidP="00C54EA3">
      <w:pPr>
        <w:numPr>
          <w:ilvl w:val="0"/>
          <w:numId w:val="29"/>
        </w:numPr>
        <w:ind w:left="567" w:hanging="567"/>
        <w:jc w:val="both"/>
        <w:rPr>
          <w:b/>
        </w:rPr>
      </w:pPr>
      <w:hyperlink r:id="rId30" w:history="1">
        <w:r w:rsidR="006C3C5B" w:rsidRPr="00C54EA3">
          <w:rPr>
            <w:b/>
          </w:rPr>
          <w:t>Regulation (EU) No 1303/2013</w:t>
        </w:r>
      </w:hyperlink>
      <w:r w:rsidR="006C3C5B" w:rsidRPr="00C54EA3">
        <w:t xml:space="preserve"> on rules and standards for the implementation of the five European Structural and Investment Funds: the European Regional Development Fund (ERDF), the European Social Fund (ESF), the Cohesion </w:t>
      </w:r>
      <w:r w:rsidR="006C3C5B" w:rsidRPr="00C54EA3">
        <w:lastRenderedPageBreak/>
        <w:t>Fund, the European Agricultural Fund for Rural Development (EAFRD) and the European Maritime and Fisheries Fund (EMFF);</w:t>
      </w:r>
    </w:p>
    <w:p w14:paraId="162E3A1B" w14:textId="77777777" w:rsidR="006C3C5B" w:rsidRPr="00C54EA3" w:rsidRDefault="006C3C5B" w:rsidP="00C54EA3">
      <w:pPr>
        <w:numPr>
          <w:ilvl w:val="0"/>
          <w:numId w:val="29"/>
        </w:numPr>
        <w:autoSpaceDE w:val="0"/>
        <w:autoSpaceDN w:val="0"/>
        <w:adjustRightInd w:val="0"/>
        <w:ind w:left="567" w:hanging="567"/>
        <w:jc w:val="both"/>
        <w:rPr>
          <w:i/>
        </w:rPr>
      </w:pPr>
      <w:r w:rsidRPr="00C54EA3">
        <w:rPr>
          <w:b/>
        </w:rPr>
        <w:t xml:space="preserve">Guidance on </w:t>
      </w:r>
      <w:r w:rsidRPr="00C54EA3">
        <w:rPr>
          <w:b/>
          <w:i/>
        </w:rPr>
        <w:t xml:space="preserve">Ex ante </w:t>
      </w:r>
      <w:proofErr w:type="spellStart"/>
      <w:r w:rsidRPr="00C54EA3">
        <w:rPr>
          <w:b/>
        </w:rPr>
        <w:t>Conditionalities</w:t>
      </w:r>
      <w:proofErr w:type="spellEnd"/>
      <w:r w:rsidRPr="00C54EA3">
        <w:rPr>
          <w:b/>
        </w:rPr>
        <w:t xml:space="preserve"> for the ESIF</w:t>
      </w:r>
      <w:r w:rsidR="00A133EB" w:rsidRPr="00C54EA3">
        <w:t>,</w:t>
      </w:r>
      <w:r w:rsidRPr="00C54EA3">
        <w:rPr>
          <w:rStyle w:val="FootnoteReference"/>
        </w:rPr>
        <w:footnoteReference w:id="49"/>
      </w:r>
      <w:r w:rsidRPr="00C54EA3">
        <w:rPr>
          <w:b/>
        </w:rPr>
        <w:t xml:space="preserve"> </w:t>
      </w:r>
      <w:r w:rsidRPr="00C54EA3">
        <w:t xml:space="preserve">stating that </w:t>
      </w:r>
      <w:r w:rsidRPr="00C54EA3">
        <w:rPr>
          <w:i/>
        </w:rPr>
        <w:t xml:space="preserve">the Commission will work to promote the transition from institutional to community-based care by: using Structural Funds and the Rural Development Fund to support the development of community-based services and raising awareness of the situation of people with disabilities living in residential institutions, </w:t>
      </w:r>
      <w:proofErr w:type="gramStart"/>
      <w:r w:rsidRPr="00C54EA3">
        <w:rPr>
          <w:i/>
        </w:rPr>
        <w:t>in particular children</w:t>
      </w:r>
      <w:proofErr w:type="gramEnd"/>
      <w:r w:rsidRPr="00C54EA3">
        <w:rPr>
          <w:i/>
        </w:rPr>
        <w:t xml:space="preserve"> and elderly people;</w:t>
      </w:r>
    </w:p>
    <w:p w14:paraId="0677E8AA" w14:textId="77777777" w:rsidR="00147355" w:rsidRPr="00C54EA3" w:rsidRDefault="006C3C5B" w:rsidP="00C54EA3">
      <w:pPr>
        <w:numPr>
          <w:ilvl w:val="0"/>
          <w:numId w:val="29"/>
        </w:numPr>
        <w:autoSpaceDE w:val="0"/>
        <w:autoSpaceDN w:val="0"/>
        <w:adjustRightInd w:val="0"/>
        <w:ind w:left="567" w:hanging="567"/>
        <w:jc w:val="both"/>
        <w:rPr>
          <w:i/>
        </w:rPr>
      </w:pPr>
      <w:r w:rsidRPr="00C54EA3">
        <w:rPr>
          <w:b/>
        </w:rPr>
        <w:t>Partnership Agreement between Romania and the European Commission</w:t>
      </w:r>
      <w:r w:rsidRPr="00C54EA3">
        <w:rPr>
          <w:rStyle w:val="FootnoteReference"/>
        </w:rPr>
        <w:footnoteReference w:id="50"/>
      </w:r>
      <w:r w:rsidRPr="00C54EA3">
        <w:t xml:space="preserve"> which includes as proposed priority for funding </w:t>
      </w:r>
      <w:r w:rsidRPr="00C54EA3">
        <w:rPr>
          <w:i/>
        </w:rPr>
        <w:t>to develop an equitable, sustainable, affordable and high quality social assistance system, benefits and social services (e.g.: protected homes, family-type homes, in-home care, day-care centres, integrated social and health community services, respite centres etc.) which will support the transition from classic/ large scale residential centres to community – based service delivered by public and private social services providers, including prevention of institutionalisation and targeted support for community based infrastructure;</w:t>
      </w:r>
    </w:p>
    <w:p w14:paraId="412586D8" w14:textId="77777777" w:rsidR="00147355" w:rsidRPr="00C54EA3" w:rsidRDefault="00147355" w:rsidP="00C54EA3">
      <w:pPr>
        <w:autoSpaceDE w:val="0"/>
        <w:autoSpaceDN w:val="0"/>
        <w:adjustRightInd w:val="0"/>
        <w:ind w:left="567"/>
        <w:jc w:val="both"/>
        <w:rPr>
          <w:i/>
        </w:rPr>
      </w:pPr>
      <w:r w:rsidRPr="00C54EA3">
        <w:rPr>
          <w:b/>
          <w:i/>
        </w:rPr>
        <w:t>Specific provisions related to funding priorities relevant to the field of disability in the current Operational Programs funded with European Structural and Investment Funds:</w:t>
      </w:r>
      <w:r w:rsidRPr="00C54EA3">
        <w:rPr>
          <w:b/>
        </w:rPr>
        <w:t xml:space="preserve">1. </w:t>
      </w:r>
      <w:r w:rsidR="006C3C5B" w:rsidRPr="00C54EA3">
        <w:rPr>
          <w:b/>
        </w:rPr>
        <w:t>Regional Operational Program</w:t>
      </w:r>
      <w:r w:rsidR="006C3C5B" w:rsidRPr="00C54EA3">
        <w:rPr>
          <w:rStyle w:val="FootnoteReference"/>
        </w:rPr>
        <w:footnoteReference w:id="51"/>
      </w:r>
      <w:r w:rsidR="006C3C5B" w:rsidRPr="00C54EA3">
        <w:rPr>
          <w:b/>
        </w:rPr>
        <w:t xml:space="preserve"> </w:t>
      </w:r>
      <w:r w:rsidR="006C3C5B" w:rsidRPr="00C54EA3">
        <w:t xml:space="preserve">agreed with the European Commission includes under </w:t>
      </w:r>
      <w:r w:rsidR="006C3C5B" w:rsidRPr="00C54EA3">
        <w:rPr>
          <w:i/>
        </w:rPr>
        <w:t xml:space="preserve">Investment Priority 8.1 </w:t>
      </w:r>
      <w:r w:rsidR="006C3C5B" w:rsidRPr="00C54EA3">
        <w:t xml:space="preserve">to </w:t>
      </w:r>
      <w:r w:rsidR="006C3C5B" w:rsidRPr="00C54EA3">
        <w:rPr>
          <w:i/>
        </w:rPr>
        <w:t xml:space="preserve">support transition from institutional care (residential </w:t>
      </w:r>
      <w:r w:rsidR="009E4D14" w:rsidRPr="00C54EA3">
        <w:rPr>
          <w:i/>
        </w:rPr>
        <w:t>centres</w:t>
      </w:r>
      <w:r w:rsidR="006C3C5B" w:rsidRPr="00C54EA3">
        <w:rPr>
          <w:i/>
        </w:rPr>
        <w:t xml:space="preserve">) to community services. This means investment in family type homes, protected houses etc. and adequate equipment. Main envisaged actions (without limitation to) target: (1) rehabilitation/modernization/expansion/equipment of </w:t>
      </w:r>
      <w:r w:rsidR="006C3C5B" w:rsidRPr="00C54EA3">
        <w:rPr>
          <w:b/>
          <w:i/>
        </w:rPr>
        <w:t xml:space="preserve">non-residential social services </w:t>
      </w:r>
      <w:r w:rsidR="006C3C5B" w:rsidRPr="00C54EA3">
        <w:rPr>
          <w:i/>
        </w:rPr>
        <w:t xml:space="preserve">(e.g. day care </w:t>
      </w:r>
      <w:r w:rsidR="009E4D14" w:rsidRPr="00C54EA3">
        <w:rPr>
          <w:i/>
        </w:rPr>
        <w:t>centres</w:t>
      </w:r>
      <w:r w:rsidR="006C3C5B" w:rsidRPr="00C54EA3">
        <w:rPr>
          <w:i/>
        </w:rPr>
        <w:t xml:space="preserve">, respite </w:t>
      </w:r>
      <w:r w:rsidR="009E4D14" w:rsidRPr="00C54EA3">
        <w:rPr>
          <w:i/>
        </w:rPr>
        <w:t>centres</w:t>
      </w:r>
      <w:r w:rsidR="006C3C5B" w:rsidRPr="00C54EA3">
        <w:rPr>
          <w:i/>
        </w:rPr>
        <w:t xml:space="preserve">, ambulatories etc.); (2) </w:t>
      </w:r>
      <w:r w:rsidR="006C3C5B" w:rsidRPr="00C54EA3">
        <w:rPr>
          <w:b/>
          <w:i/>
        </w:rPr>
        <w:t xml:space="preserve">construction/rehabilitation/modernization of family type homes, protected homes </w:t>
      </w:r>
      <w:r w:rsidR="00FD0678" w:rsidRPr="00C54EA3">
        <w:rPr>
          <w:i/>
        </w:rPr>
        <w:t>etc.</w:t>
      </w:r>
    </w:p>
    <w:p w14:paraId="57B2D213" w14:textId="77777777" w:rsidR="00FD0678" w:rsidRPr="00C54EA3" w:rsidRDefault="00FD0678" w:rsidP="00C54EA3">
      <w:pPr>
        <w:autoSpaceDE w:val="0"/>
        <w:autoSpaceDN w:val="0"/>
        <w:adjustRightInd w:val="0"/>
        <w:ind w:left="360"/>
        <w:jc w:val="both"/>
        <w:rPr>
          <w:i/>
        </w:rPr>
      </w:pPr>
    </w:p>
    <w:p w14:paraId="0232194B" w14:textId="77777777" w:rsidR="00147355" w:rsidRPr="00C54EA3" w:rsidRDefault="006C3C5B" w:rsidP="00C54EA3">
      <w:pPr>
        <w:numPr>
          <w:ilvl w:val="0"/>
          <w:numId w:val="38"/>
        </w:numPr>
        <w:autoSpaceDE w:val="0"/>
        <w:autoSpaceDN w:val="0"/>
        <w:adjustRightInd w:val="0"/>
        <w:ind w:left="567" w:hanging="567"/>
        <w:jc w:val="both"/>
        <w:rPr>
          <w:i/>
        </w:rPr>
      </w:pPr>
      <w:r w:rsidRPr="00C54EA3">
        <w:rPr>
          <w:b/>
        </w:rPr>
        <w:t>Human Capital Operational Program</w:t>
      </w:r>
      <w:r w:rsidRPr="00C54EA3">
        <w:rPr>
          <w:rStyle w:val="FootnoteReference"/>
        </w:rPr>
        <w:footnoteReference w:id="52"/>
      </w:r>
      <w:r w:rsidRPr="00C54EA3">
        <w:rPr>
          <w:b/>
        </w:rPr>
        <w:t xml:space="preserve"> </w:t>
      </w:r>
      <w:r w:rsidR="00147355" w:rsidRPr="00C54EA3">
        <w:t>provisions potential funding for projects related to disability (not explicit) under several Priority Axis, as following:</w:t>
      </w:r>
    </w:p>
    <w:p w14:paraId="5701056C" w14:textId="77777777" w:rsidR="009F5988" w:rsidRPr="00C54EA3" w:rsidRDefault="009F5988" w:rsidP="00C54EA3">
      <w:pPr>
        <w:autoSpaceDE w:val="0"/>
        <w:autoSpaceDN w:val="0"/>
        <w:adjustRightInd w:val="0"/>
        <w:ind w:left="567"/>
        <w:jc w:val="both"/>
        <w:rPr>
          <w:i/>
        </w:rPr>
      </w:pPr>
    </w:p>
    <w:p w14:paraId="5D39DC66" w14:textId="77777777" w:rsidR="00147355" w:rsidRPr="00C54EA3" w:rsidRDefault="00147355" w:rsidP="00C54EA3">
      <w:pPr>
        <w:autoSpaceDE w:val="0"/>
        <w:autoSpaceDN w:val="0"/>
        <w:adjustRightInd w:val="0"/>
        <w:ind w:left="567"/>
        <w:jc w:val="both"/>
        <w:rPr>
          <w:i/>
        </w:rPr>
      </w:pPr>
      <w:r w:rsidRPr="00C54EA3">
        <w:t xml:space="preserve">PA 4 – </w:t>
      </w:r>
      <w:r w:rsidRPr="00C54EA3">
        <w:rPr>
          <w:i/>
        </w:rPr>
        <w:t xml:space="preserve">Social Inclusion and Combating Poverty, </w:t>
      </w:r>
      <w:r w:rsidRPr="00C54EA3">
        <w:t xml:space="preserve">with a total allocation of 1,110,192,858 euro, targeting interventions such as: </w:t>
      </w:r>
      <w:r w:rsidRPr="00C54EA3">
        <w:rPr>
          <w:i/>
        </w:rPr>
        <w:t>reducing the number of persons exposed to poverty risk and social exclusion from Roma and non-Roma communities; improving the digital alphabetization of disadvantaged communities (e-inclusion), reducing the number of persons belonging to vulnerable groups through providing social, medical and socio-professional services adapted to their specific needs, particularly for socio-professional integration;</w:t>
      </w:r>
    </w:p>
    <w:p w14:paraId="0FC90F92" w14:textId="77777777" w:rsidR="009F5988" w:rsidRPr="00C54EA3" w:rsidRDefault="009F5988" w:rsidP="00C54EA3">
      <w:pPr>
        <w:autoSpaceDE w:val="0"/>
        <w:autoSpaceDN w:val="0"/>
        <w:adjustRightInd w:val="0"/>
        <w:ind w:left="567"/>
        <w:jc w:val="both"/>
        <w:rPr>
          <w:i/>
        </w:rPr>
      </w:pPr>
    </w:p>
    <w:p w14:paraId="2F6717B3" w14:textId="77777777" w:rsidR="00147355" w:rsidRPr="00C54EA3" w:rsidRDefault="00147355" w:rsidP="00C54EA3">
      <w:pPr>
        <w:autoSpaceDE w:val="0"/>
        <w:autoSpaceDN w:val="0"/>
        <w:adjustRightInd w:val="0"/>
        <w:ind w:left="1077"/>
        <w:jc w:val="both"/>
        <w:rPr>
          <w:i/>
        </w:rPr>
      </w:pPr>
      <w:r w:rsidRPr="00C54EA3">
        <w:t>PA 5 –</w:t>
      </w:r>
      <w:r w:rsidRPr="00C54EA3">
        <w:rPr>
          <w:i/>
        </w:rPr>
        <w:t xml:space="preserve"> Community Led Local Development, </w:t>
      </w:r>
      <w:r w:rsidRPr="00C54EA3">
        <w:t xml:space="preserve">with an allocation of 211,978,218 euro, targeting to: </w:t>
      </w:r>
      <w:r w:rsidRPr="00C54EA3">
        <w:rPr>
          <w:i/>
        </w:rPr>
        <w:t xml:space="preserve">reduce the number of persons exposed to poverty and </w:t>
      </w:r>
      <w:r w:rsidR="00CF028D" w:rsidRPr="00C54EA3">
        <w:rPr>
          <w:i/>
        </w:rPr>
        <w:t>social exclusion (Roma and non-R</w:t>
      </w:r>
      <w:r w:rsidRPr="00C54EA3">
        <w:rPr>
          <w:i/>
        </w:rPr>
        <w:t>oma) from cities with under/over 20,000 inhabitants;</w:t>
      </w:r>
    </w:p>
    <w:p w14:paraId="210508B1" w14:textId="77777777" w:rsidR="00147355" w:rsidRPr="00C54EA3" w:rsidRDefault="00147355" w:rsidP="00C54EA3">
      <w:pPr>
        <w:autoSpaceDE w:val="0"/>
        <w:autoSpaceDN w:val="0"/>
        <w:adjustRightInd w:val="0"/>
        <w:ind w:left="1077"/>
        <w:jc w:val="both"/>
      </w:pPr>
      <w:r w:rsidRPr="00C54EA3">
        <w:t>PA 6 –</w:t>
      </w:r>
      <w:r w:rsidRPr="00C54EA3">
        <w:rPr>
          <w:i/>
        </w:rPr>
        <w:t xml:space="preserve"> Education and competences, </w:t>
      </w:r>
      <w:r w:rsidRPr="00C54EA3">
        <w:t>with a total allocation of 1,478,636,044 euro for supporting, among other objectives, reform of the national school curricula for special education and second – chance education for developing key competences and focusing on children’s development needs;</w:t>
      </w:r>
    </w:p>
    <w:p w14:paraId="592B3FE5" w14:textId="77777777" w:rsidR="000A4B59" w:rsidRPr="00C54EA3" w:rsidRDefault="000A4B59" w:rsidP="00C54EA3">
      <w:pPr>
        <w:autoSpaceDE w:val="0"/>
        <w:autoSpaceDN w:val="0"/>
        <w:adjustRightInd w:val="0"/>
        <w:jc w:val="both"/>
      </w:pPr>
    </w:p>
    <w:p w14:paraId="6B3F2CF9" w14:textId="77777777" w:rsidR="000A4B59" w:rsidRPr="00C54EA3" w:rsidRDefault="000A4B59" w:rsidP="00C54EA3">
      <w:pPr>
        <w:autoSpaceDE w:val="0"/>
        <w:autoSpaceDN w:val="0"/>
        <w:adjustRightInd w:val="0"/>
        <w:jc w:val="both"/>
      </w:pPr>
      <w:r w:rsidRPr="00C54EA3">
        <w:t>So far, only 2 calls for proposals relevant for the priorities described above have been launched for beneficiaries, as following:</w:t>
      </w:r>
    </w:p>
    <w:p w14:paraId="71AD452A" w14:textId="77777777" w:rsidR="009F5988" w:rsidRPr="00C54EA3" w:rsidRDefault="009F5988" w:rsidP="00C54EA3">
      <w:pPr>
        <w:autoSpaceDE w:val="0"/>
        <w:autoSpaceDN w:val="0"/>
        <w:adjustRightInd w:val="0"/>
        <w:jc w:val="both"/>
      </w:pPr>
    </w:p>
    <w:p w14:paraId="1F434E14" w14:textId="77777777" w:rsidR="000A4B59" w:rsidRPr="00C54EA3" w:rsidRDefault="000A4B59" w:rsidP="00C54EA3">
      <w:pPr>
        <w:numPr>
          <w:ilvl w:val="0"/>
          <w:numId w:val="29"/>
        </w:numPr>
        <w:autoSpaceDE w:val="0"/>
        <w:autoSpaceDN w:val="0"/>
        <w:adjustRightInd w:val="0"/>
        <w:ind w:left="567" w:hanging="567"/>
        <w:jc w:val="both"/>
      </w:pPr>
      <w:r w:rsidRPr="00C54EA3">
        <w:t>HC OP 4.1 and 4.2 – integrated local development i</w:t>
      </w:r>
      <w:r w:rsidR="009F5988" w:rsidRPr="00C54EA3">
        <w:t>n marginalized Roma communities</w:t>
      </w:r>
      <w:r w:rsidRPr="00C54EA3">
        <w:rPr>
          <w:rStyle w:val="FootnoteReference"/>
        </w:rPr>
        <w:footnoteReference w:id="53"/>
      </w:r>
      <w:r w:rsidRPr="00C54EA3">
        <w:t xml:space="preserve"> (eligible beneficiaries: local authorities, NGOs);</w:t>
      </w:r>
    </w:p>
    <w:p w14:paraId="74170571" w14:textId="77777777" w:rsidR="006B7206" w:rsidRPr="00C54EA3" w:rsidRDefault="006B7206" w:rsidP="00C54EA3">
      <w:pPr>
        <w:jc w:val="both"/>
        <w:rPr>
          <w:rFonts w:eastAsia="SimSun"/>
          <w:lang w:eastAsia="en-GB"/>
        </w:rPr>
      </w:pPr>
    </w:p>
    <w:p w14:paraId="3238B863" w14:textId="77777777" w:rsidR="000A4B59" w:rsidRPr="00C54EA3" w:rsidRDefault="000A4B59" w:rsidP="00C54EA3">
      <w:pPr>
        <w:jc w:val="both"/>
        <w:rPr>
          <w:rFonts w:eastAsia="SimSun"/>
          <w:lang w:eastAsia="en-GB"/>
        </w:rPr>
      </w:pPr>
      <w:r w:rsidRPr="00C54EA3">
        <w:rPr>
          <w:rFonts w:eastAsia="SimSun"/>
          <w:lang w:eastAsia="en-GB"/>
        </w:rPr>
        <w:t>Currently, Romania experiences some difficulties in operationalizing the electronic platform for project submission (</w:t>
      </w:r>
      <w:proofErr w:type="spellStart"/>
      <w:r w:rsidRPr="00C54EA3">
        <w:rPr>
          <w:rFonts w:eastAsia="SimSun"/>
          <w:lang w:eastAsia="en-GB"/>
        </w:rPr>
        <w:t>MySMIS</w:t>
      </w:r>
      <w:proofErr w:type="spellEnd"/>
      <w:r w:rsidRPr="00C54EA3">
        <w:rPr>
          <w:rFonts w:eastAsia="SimSun"/>
          <w:lang w:eastAsia="en-GB"/>
        </w:rPr>
        <w:t xml:space="preserve">) that potential beneficiaries will be able to apply for projects financed under 2014 – 2020 ESIF. </w:t>
      </w:r>
      <w:proofErr w:type="gramStart"/>
      <w:r w:rsidRPr="00C54EA3">
        <w:rPr>
          <w:rFonts w:eastAsia="SimSun"/>
          <w:lang w:eastAsia="en-GB"/>
        </w:rPr>
        <w:t>As a consequence</w:t>
      </w:r>
      <w:proofErr w:type="gramEnd"/>
      <w:r w:rsidRPr="00C54EA3">
        <w:rPr>
          <w:rFonts w:eastAsia="SimSun"/>
          <w:lang w:eastAsia="en-GB"/>
        </w:rPr>
        <w:t xml:space="preserve">, many calls for proposals have been delayed, causing again a serious problem in capacity of absorption of EU funds. </w:t>
      </w:r>
    </w:p>
    <w:p w14:paraId="45067D04" w14:textId="77777777" w:rsidR="000A4B59" w:rsidRPr="00C54EA3" w:rsidRDefault="000A4B59" w:rsidP="00C54EA3">
      <w:pPr>
        <w:jc w:val="both"/>
        <w:rPr>
          <w:rFonts w:eastAsia="SimSun"/>
          <w:lang w:eastAsia="en-GB"/>
        </w:rPr>
      </w:pPr>
    </w:p>
    <w:p w14:paraId="24F6CE22" w14:textId="77777777" w:rsidR="006B7206" w:rsidRPr="00C54EA3" w:rsidRDefault="006B7206" w:rsidP="00C54EA3">
      <w:pPr>
        <w:pStyle w:val="Heading1"/>
        <w:jc w:val="both"/>
        <w:rPr>
          <w:sz w:val="24"/>
          <w:szCs w:val="24"/>
          <w:lang w:eastAsia="en-GB"/>
        </w:rPr>
      </w:pPr>
      <w:bookmarkStart w:id="28" w:name="_Toc508203272"/>
      <w:r w:rsidRPr="00C54EA3">
        <w:rPr>
          <w:sz w:val="24"/>
          <w:szCs w:val="24"/>
          <w:lang w:eastAsia="en-GB"/>
        </w:rPr>
        <w:lastRenderedPageBreak/>
        <w:t>Recommendations</w:t>
      </w:r>
      <w:bookmarkEnd w:id="28"/>
    </w:p>
    <w:p w14:paraId="2B4EB35D" w14:textId="77777777" w:rsidR="000A4B59" w:rsidRPr="00C54EA3" w:rsidRDefault="000A4B59" w:rsidP="00C54EA3">
      <w:pPr>
        <w:jc w:val="both"/>
        <w:rPr>
          <w:lang w:eastAsia="en-GB"/>
        </w:rPr>
      </w:pPr>
    </w:p>
    <w:p w14:paraId="0543B56E" w14:textId="77777777" w:rsidR="000A4B59" w:rsidRPr="00C54EA3" w:rsidRDefault="000A4B59" w:rsidP="00C54EA3">
      <w:pPr>
        <w:jc w:val="both"/>
        <w:rPr>
          <w:lang w:eastAsia="en-GB"/>
        </w:rPr>
      </w:pPr>
      <w:r w:rsidRPr="00C54EA3">
        <w:rPr>
          <w:lang w:eastAsia="en-GB"/>
        </w:rPr>
        <w:t xml:space="preserve">The specific recommendations below have been assumed as part of the National Strategy for Persons with Disabilities, debated and agreed with all relevant institutional and non-governmental stakeholders, which has been put on hold for adoption for almost </w:t>
      </w:r>
      <w:r w:rsidR="006637DD" w:rsidRPr="00C54EA3">
        <w:rPr>
          <w:lang w:eastAsia="en-GB"/>
        </w:rPr>
        <w:t>3</w:t>
      </w:r>
      <w:r w:rsidRPr="00C54EA3">
        <w:rPr>
          <w:lang w:eastAsia="en-GB"/>
        </w:rPr>
        <w:t xml:space="preserve"> years</w:t>
      </w:r>
      <w:r w:rsidR="006637DD" w:rsidRPr="00C54EA3">
        <w:rPr>
          <w:lang w:eastAsia="en-GB"/>
        </w:rPr>
        <w:t xml:space="preserve"> (until its adoption in September 2016), as mentioned earlier.</w:t>
      </w:r>
      <w:r w:rsidR="009F5988" w:rsidRPr="00C54EA3">
        <w:rPr>
          <w:lang w:eastAsia="en-GB"/>
        </w:rPr>
        <w:t xml:space="preserve"> </w:t>
      </w:r>
      <w:r w:rsidRPr="00C54EA3">
        <w:rPr>
          <w:lang w:eastAsia="en-GB"/>
        </w:rPr>
        <w:t xml:space="preserve">The recommendations target the main areas identified as priorities for intervention, as following: </w:t>
      </w:r>
    </w:p>
    <w:p w14:paraId="1193EABF" w14:textId="77777777" w:rsidR="001E4166" w:rsidRPr="00C54EA3" w:rsidRDefault="001E4166" w:rsidP="00C54EA3">
      <w:pPr>
        <w:jc w:val="both"/>
        <w:rPr>
          <w:lang w:eastAsia="en-GB"/>
        </w:rPr>
      </w:pPr>
    </w:p>
    <w:p w14:paraId="72A1542F" w14:textId="77777777" w:rsidR="006C3C5B" w:rsidRPr="00C54EA3" w:rsidRDefault="006C3C5B" w:rsidP="00C54EA3">
      <w:pPr>
        <w:pStyle w:val="Heading2"/>
        <w:jc w:val="both"/>
        <w:rPr>
          <w:szCs w:val="24"/>
          <w:lang w:eastAsia="en-GB"/>
        </w:rPr>
      </w:pPr>
      <w:bookmarkStart w:id="29" w:name="_Toc508203273"/>
      <w:r w:rsidRPr="00C54EA3">
        <w:rPr>
          <w:szCs w:val="24"/>
          <w:lang w:eastAsia="en-GB"/>
        </w:rPr>
        <w:t>Employment</w:t>
      </w:r>
      <w:bookmarkEnd w:id="29"/>
      <w:r w:rsidRPr="00C54EA3">
        <w:rPr>
          <w:szCs w:val="24"/>
          <w:lang w:eastAsia="en-GB"/>
        </w:rPr>
        <w:t xml:space="preserve"> </w:t>
      </w:r>
    </w:p>
    <w:p w14:paraId="3227951F" w14:textId="77777777" w:rsidR="006C3C5B" w:rsidRPr="00C54EA3" w:rsidRDefault="006C3C5B" w:rsidP="00C54EA3">
      <w:pPr>
        <w:jc w:val="both"/>
        <w:rPr>
          <w:b/>
          <w:i/>
          <w:lang w:eastAsia="en-GB"/>
        </w:rPr>
      </w:pPr>
    </w:p>
    <w:p w14:paraId="33909E74" w14:textId="77777777" w:rsidR="006C3C5B" w:rsidRPr="00C54EA3" w:rsidRDefault="006C3C5B" w:rsidP="00C54EA3">
      <w:pPr>
        <w:pStyle w:val="ListParagraph"/>
        <w:numPr>
          <w:ilvl w:val="0"/>
          <w:numId w:val="29"/>
        </w:numPr>
        <w:ind w:left="567" w:hanging="567"/>
        <w:jc w:val="both"/>
        <w:rPr>
          <w:lang w:eastAsia="en-GB"/>
        </w:rPr>
      </w:pPr>
      <w:r w:rsidRPr="00C54EA3">
        <w:rPr>
          <w:lang w:eastAsia="en-GB"/>
        </w:rPr>
        <w:t xml:space="preserve">Introduction of </w:t>
      </w:r>
      <w:r w:rsidRPr="00C54EA3">
        <w:rPr>
          <w:i/>
          <w:lang w:eastAsia="en-GB"/>
        </w:rPr>
        <w:t xml:space="preserve">supported employment </w:t>
      </w:r>
      <w:r w:rsidRPr="00C54EA3">
        <w:rPr>
          <w:lang w:eastAsia="en-GB"/>
        </w:rPr>
        <w:t xml:space="preserve">as a </w:t>
      </w:r>
      <w:r w:rsidR="00015E1A" w:rsidRPr="00C54EA3">
        <w:rPr>
          <w:lang w:eastAsia="en-GB"/>
        </w:rPr>
        <w:t>new service recognized by the law</w:t>
      </w:r>
      <w:r w:rsidRPr="00C54EA3">
        <w:rPr>
          <w:lang w:eastAsia="en-GB"/>
        </w:rPr>
        <w:t xml:space="preserve"> for people with disabilities;</w:t>
      </w:r>
    </w:p>
    <w:p w14:paraId="4E1B99F6" w14:textId="77777777" w:rsidR="006C3C5B" w:rsidRPr="00C54EA3" w:rsidRDefault="006C3C5B" w:rsidP="00C54EA3">
      <w:pPr>
        <w:pStyle w:val="ListParagraph"/>
        <w:numPr>
          <w:ilvl w:val="0"/>
          <w:numId w:val="29"/>
        </w:numPr>
        <w:ind w:left="567" w:hanging="567"/>
        <w:jc w:val="both"/>
        <w:rPr>
          <w:lang w:eastAsia="en-GB"/>
        </w:rPr>
      </w:pPr>
      <w:r w:rsidRPr="00C54EA3">
        <w:rPr>
          <w:lang w:eastAsia="en-GB"/>
        </w:rPr>
        <w:t>Revision of the current system of evaluation of disability (based exclusively on medical criteria)</w:t>
      </w:r>
      <w:r w:rsidR="00BB1102" w:rsidRPr="00C54EA3">
        <w:rPr>
          <w:lang w:eastAsia="en-GB"/>
        </w:rPr>
        <w:t>;</w:t>
      </w:r>
    </w:p>
    <w:p w14:paraId="13EE59B2" w14:textId="77777777" w:rsidR="006C3C5B" w:rsidRPr="00C54EA3" w:rsidRDefault="00BB1102" w:rsidP="00C54EA3">
      <w:pPr>
        <w:pStyle w:val="ListParagraph"/>
        <w:numPr>
          <w:ilvl w:val="0"/>
          <w:numId w:val="29"/>
        </w:numPr>
        <w:ind w:left="567" w:hanging="567"/>
        <w:jc w:val="both"/>
        <w:rPr>
          <w:lang w:eastAsia="en-GB"/>
        </w:rPr>
      </w:pPr>
      <w:r w:rsidRPr="00C54EA3">
        <w:rPr>
          <w:lang w:eastAsia="en-GB"/>
        </w:rPr>
        <w:t>Reform of current vocational education with new specializations adapted to the labour market;</w:t>
      </w:r>
    </w:p>
    <w:p w14:paraId="39F3C7A6" w14:textId="77777777" w:rsidR="00BB1102" w:rsidRPr="00C54EA3" w:rsidRDefault="00BB1102" w:rsidP="00C54EA3">
      <w:pPr>
        <w:pStyle w:val="ListParagraph"/>
        <w:numPr>
          <w:ilvl w:val="0"/>
          <w:numId w:val="29"/>
        </w:numPr>
        <w:ind w:left="567" w:hanging="567"/>
        <w:jc w:val="both"/>
        <w:rPr>
          <w:lang w:eastAsia="en-GB"/>
        </w:rPr>
      </w:pPr>
      <w:r w:rsidRPr="00C54EA3">
        <w:rPr>
          <w:lang w:eastAsia="en-GB"/>
        </w:rPr>
        <w:t>Information campaigns for employers (in the public and private sector) with regards to the rights of people with disabilities to work</w:t>
      </w:r>
      <w:r w:rsidR="002F1AB6" w:rsidRPr="00C54EA3">
        <w:rPr>
          <w:lang w:eastAsia="en-GB"/>
        </w:rPr>
        <w:t xml:space="preserve"> in the context on the new legislative framework</w:t>
      </w:r>
      <w:r w:rsidRPr="00C54EA3">
        <w:rPr>
          <w:lang w:eastAsia="en-GB"/>
        </w:rPr>
        <w:t>;</w:t>
      </w:r>
    </w:p>
    <w:p w14:paraId="583EF7CE" w14:textId="77777777" w:rsidR="00BB1102" w:rsidRPr="00C54EA3" w:rsidRDefault="00BB1102" w:rsidP="00C54EA3">
      <w:pPr>
        <w:pStyle w:val="ListParagraph"/>
        <w:numPr>
          <w:ilvl w:val="0"/>
          <w:numId w:val="29"/>
        </w:numPr>
        <w:ind w:left="567" w:hanging="567"/>
        <w:jc w:val="both"/>
        <w:rPr>
          <w:lang w:eastAsia="en-GB"/>
        </w:rPr>
      </w:pPr>
      <w:r w:rsidRPr="00C54EA3">
        <w:rPr>
          <w:lang w:eastAsia="en-GB"/>
        </w:rPr>
        <w:t>Stimulating employers to invest in reasonable accommodation (</w:t>
      </w:r>
      <w:r w:rsidR="00E8424A" w:rsidRPr="00C54EA3">
        <w:rPr>
          <w:lang w:eastAsia="en-GB"/>
        </w:rPr>
        <w:t>to</w:t>
      </w:r>
      <w:r w:rsidRPr="00C54EA3">
        <w:rPr>
          <w:lang w:eastAsia="en-GB"/>
        </w:rPr>
        <w:t xml:space="preserve"> the detriment of the current penalty system for not meeting the quota)</w:t>
      </w:r>
    </w:p>
    <w:p w14:paraId="02B58523" w14:textId="77777777" w:rsidR="00BB1102" w:rsidRPr="00C54EA3" w:rsidRDefault="00BB1102" w:rsidP="00C54EA3">
      <w:pPr>
        <w:pStyle w:val="ListParagraph"/>
        <w:numPr>
          <w:ilvl w:val="0"/>
          <w:numId w:val="29"/>
        </w:numPr>
        <w:ind w:left="567" w:hanging="567"/>
        <w:jc w:val="both"/>
        <w:rPr>
          <w:lang w:eastAsia="en-GB"/>
        </w:rPr>
      </w:pPr>
      <w:r w:rsidRPr="00C54EA3">
        <w:rPr>
          <w:lang w:eastAsia="en-GB"/>
        </w:rPr>
        <w:t xml:space="preserve">Developing instruments for allowing young people with disabilities to prove skills in employment (skills tests), </w:t>
      </w:r>
      <w:proofErr w:type="gramStart"/>
      <w:r w:rsidRPr="00C54EA3">
        <w:rPr>
          <w:lang w:eastAsia="en-GB"/>
        </w:rPr>
        <w:t>in order to</w:t>
      </w:r>
      <w:proofErr w:type="gramEnd"/>
      <w:r w:rsidRPr="00C54EA3">
        <w:rPr>
          <w:lang w:eastAsia="en-GB"/>
        </w:rPr>
        <w:t xml:space="preserve"> combat discrimination in recruitment. </w:t>
      </w:r>
    </w:p>
    <w:p w14:paraId="08C14764" w14:textId="77777777" w:rsidR="00BB1102" w:rsidRPr="00C54EA3" w:rsidRDefault="00BB1102" w:rsidP="00C54EA3">
      <w:pPr>
        <w:pStyle w:val="ListParagraph"/>
        <w:numPr>
          <w:ilvl w:val="0"/>
          <w:numId w:val="29"/>
        </w:numPr>
        <w:ind w:left="567" w:hanging="567"/>
        <w:jc w:val="both"/>
        <w:rPr>
          <w:lang w:eastAsia="en-GB"/>
        </w:rPr>
      </w:pPr>
      <w:r w:rsidRPr="00C54EA3">
        <w:rPr>
          <w:lang w:eastAsia="en-GB"/>
        </w:rPr>
        <w:t xml:space="preserve">Creating a special fund dedicated to measures supporting employment of </w:t>
      </w:r>
      <w:proofErr w:type="spellStart"/>
      <w:r w:rsidRPr="00C54EA3">
        <w:rPr>
          <w:lang w:eastAsia="en-GB"/>
        </w:rPr>
        <w:t>PwD</w:t>
      </w:r>
      <w:proofErr w:type="spellEnd"/>
      <w:r w:rsidRPr="00C54EA3">
        <w:rPr>
          <w:lang w:eastAsia="en-GB"/>
        </w:rPr>
        <w:t xml:space="preserve"> from the amounts collected from employers for not meeting the minimum quota of 4</w:t>
      </w:r>
      <w:r w:rsidR="009F5988" w:rsidRPr="00C54EA3">
        <w:rPr>
          <w:lang w:eastAsia="en-GB"/>
        </w:rPr>
        <w:t xml:space="preserve"> </w:t>
      </w:r>
      <w:r w:rsidRPr="00C54EA3">
        <w:rPr>
          <w:lang w:eastAsia="en-GB"/>
        </w:rPr>
        <w:t>%</w:t>
      </w:r>
    </w:p>
    <w:p w14:paraId="79DC793B" w14:textId="77777777" w:rsidR="007626E1" w:rsidRPr="00C54EA3" w:rsidRDefault="007626E1" w:rsidP="00C54EA3">
      <w:pPr>
        <w:pStyle w:val="ListParagraph"/>
        <w:numPr>
          <w:ilvl w:val="0"/>
          <w:numId w:val="29"/>
        </w:numPr>
        <w:ind w:left="567" w:hanging="567"/>
        <w:jc w:val="both"/>
        <w:rPr>
          <w:lang w:eastAsia="en-GB"/>
        </w:rPr>
      </w:pPr>
      <w:r w:rsidRPr="00C54EA3">
        <w:rPr>
          <w:lang w:eastAsia="en-GB"/>
        </w:rPr>
        <w:t>Restoring the fiscal and economic facilities of protected units</w:t>
      </w:r>
    </w:p>
    <w:p w14:paraId="1A23BC38" w14:textId="77777777" w:rsidR="006C3C5B" w:rsidRPr="00C54EA3" w:rsidRDefault="006C3C5B" w:rsidP="00C54EA3">
      <w:pPr>
        <w:jc w:val="both"/>
        <w:rPr>
          <w:b/>
          <w:lang w:eastAsia="en-GB"/>
        </w:rPr>
      </w:pPr>
    </w:p>
    <w:p w14:paraId="67F87B58" w14:textId="77777777" w:rsidR="006C3C5B" w:rsidRPr="00C54EA3" w:rsidRDefault="00BB1102" w:rsidP="00C54EA3">
      <w:pPr>
        <w:pStyle w:val="Heading2"/>
        <w:jc w:val="both"/>
        <w:rPr>
          <w:szCs w:val="24"/>
          <w:lang w:eastAsia="en-GB"/>
        </w:rPr>
      </w:pPr>
      <w:bookmarkStart w:id="30" w:name="_Toc508203274"/>
      <w:r w:rsidRPr="00C54EA3">
        <w:rPr>
          <w:szCs w:val="24"/>
          <w:lang w:eastAsia="en-GB"/>
        </w:rPr>
        <w:t>Education</w:t>
      </w:r>
      <w:bookmarkEnd w:id="30"/>
    </w:p>
    <w:p w14:paraId="42A0D85A" w14:textId="77777777" w:rsidR="00BB1102" w:rsidRPr="00C54EA3" w:rsidRDefault="00BB1102" w:rsidP="00C54EA3">
      <w:pPr>
        <w:jc w:val="both"/>
        <w:rPr>
          <w:b/>
          <w:bCs/>
          <w:i/>
          <w:lang w:eastAsia="en-GB"/>
        </w:rPr>
      </w:pPr>
    </w:p>
    <w:p w14:paraId="2F98D86D" w14:textId="77777777" w:rsidR="00BB1102" w:rsidRPr="00C54EA3" w:rsidRDefault="00BB1102" w:rsidP="00C54EA3">
      <w:pPr>
        <w:pStyle w:val="ListParagraph"/>
        <w:numPr>
          <w:ilvl w:val="0"/>
          <w:numId w:val="29"/>
        </w:numPr>
        <w:ind w:left="567" w:hanging="567"/>
        <w:jc w:val="both"/>
        <w:rPr>
          <w:b/>
          <w:bCs/>
          <w:i/>
          <w:lang w:eastAsia="en-GB"/>
        </w:rPr>
      </w:pPr>
      <w:r w:rsidRPr="00C54EA3">
        <w:rPr>
          <w:bCs/>
          <w:lang w:eastAsia="en-GB"/>
        </w:rPr>
        <w:t>Training teache</w:t>
      </w:r>
      <w:r w:rsidR="00E8424A" w:rsidRPr="00C54EA3">
        <w:rPr>
          <w:bCs/>
          <w:lang w:eastAsia="en-GB"/>
        </w:rPr>
        <w:t>r</w:t>
      </w:r>
      <w:r w:rsidRPr="00C54EA3">
        <w:rPr>
          <w:bCs/>
          <w:lang w:eastAsia="en-GB"/>
        </w:rPr>
        <w:t xml:space="preserve">s from </w:t>
      </w:r>
      <w:r w:rsidR="00E8424A" w:rsidRPr="00C54EA3">
        <w:rPr>
          <w:bCs/>
          <w:lang w:eastAsia="en-GB"/>
        </w:rPr>
        <w:t xml:space="preserve">mainstream </w:t>
      </w:r>
      <w:r w:rsidRPr="00C54EA3">
        <w:rPr>
          <w:bCs/>
          <w:lang w:eastAsia="en-GB"/>
        </w:rPr>
        <w:t>education in adequate teaching methods</w:t>
      </w:r>
      <w:r w:rsidR="00E8424A" w:rsidRPr="00C54EA3">
        <w:rPr>
          <w:bCs/>
          <w:lang w:eastAsia="en-GB"/>
        </w:rPr>
        <w:t xml:space="preserve"> that are </w:t>
      </w:r>
      <w:r w:rsidRPr="00C54EA3">
        <w:rPr>
          <w:bCs/>
          <w:lang w:eastAsia="en-GB"/>
        </w:rPr>
        <w:t>adapted for children with special educational needs;</w:t>
      </w:r>
    </w:p>
    <w:p w14:paraId="15B39E60" w14:textId="77777777" w:rsidR="00BB1102" w:rsidRPr="00C54EA3" w:rsidRDefault="00BB1102" w:rsidP="00C54EA3">
      <w:pPr>
        <w:pStyle w:val="ListParagraph"/>
        <w:numPr>
          <w:ilvl w:val="0"/>
          <w:numId w:val="29"/>
        </w:numPr>
        <w:ind w:left="567" w:hanging="567"/>
        <w:jc w:val="both"/>
        <w:rPr>
          <w:b/>
          <w:bCs/>
          <w:i/>
          <w:lang w:eastAsia="en-GB"/>
        </w:rPr>
      </w:pPr>
      <w:r w:rsidRPr="00C54EA3">
        <w:rPr>
          <w:bCs/>
          <w:lang w:eastAsia="en-GB"/>
        </w:rPr>
        <w:t>Providing assistive technologies for ma</w:t>
      </w:r>
      <w:r w:rsidR="00E8424A" w:rsidRPr="00C54EA3">
        <w:rPr>
          <w:bCs/>
          <w:lang w:eastAsia="en-GB"/>
        </w:rPr>
        <w:t>instream</w:t>
      </w:r>
      <w:r w:rsidRPr="00C54EA3">
        <w:rPr>
          <w:bCs/>
          <w:lang w:eastAsia="en-GB"/>
        </w:rPr>
        <w:t xml:space="preserve"> schools;</w:t>
      </w:r>
    </w:p>
    <w:p w14:paraId="26CF7502" w14:textId="3E606CF1" w:rsidR="007626E1" w:rsidRPr="00C54EA3" w:rsidRDefault="007626E1" w:rsidP="00C54EA3">
      <w:pPr>
        <w:pStyle w:val="ListParagraph"/>
        <w:numPr>
          <w:ilvl w:val="0"/>
          <w:numId w:val="29"/>
        </w:numPr>
        <w:ind w:left="567" w:hanging="567"/>
        <w:jc w:val="both"/>
        <w:rPr>
          <w:b/>
          <w:bCs/>
          <w:i/>
          <w:lang w:eastAsia="en-GB"/>
        </w:rPr>
      </w:pPr>
      <w:r w:rsidRPr="00C54EA3">
        <w:rPr>
          <w:bCs/>
          <w:lang w:eastAsia="en-GB"/>
        </w:rPr>
        <w:t xml:space="preserve">Providing support for schools </w:t>
      </w:r>
      <w:proofErr w:type="gramStart"/>
      <w:r w:rsidRPr="00C54EA3">
        <w:rPr>
          <w:bCs/>
          <w:lang w:eastAsia="en-GB"/>
        </w:rPr>
        <w:t>so as to</w:t>
      </w:r>
      <w:proofErr w:type="gramEnd"/>
      <w:r w:rsidRPr="00C54EA3">
        <w:rPr>
          <w:bCs/>
          <w:lang w:eastAsia="en-GB"/>
        </w:rPr>
        <w:t xml:space="preserve"> adapt them for disability whether th</w:t>
      </w:r>
      <w:r w:rsidR="00A11A79" w:rsidRPr="00C54EA3">
        <w:rPr>
          <w:bCs/>
          <w:lang w:eastAsia="en-GB"/>
        </w:rPr>
        <w:t>e</w:t>
      </w:r>
      <w:r w:rsidRPr="00C54EA3">
        <w:rPr>
          <w:bCs/>
          <w:lang w:eastAsia="en-GB"/>
        </w:rPr>
        <w:t>s</w:t>
      </w:r>
      <w:r w:rsidR="00A11A79" w:rsidRPr="00C54EA3">
        <w:rPr>
          <w:bCs/>
          <w:lang w:eastAsia="en-GB"/>
        </w:rPr>
        <w:t>e</w:t>
      </w:r>
      <w:r w:rsidRPr="00C54EA3">
        <w:rPr>
          <w:bCs/>
          <w:lang w:eastAsia="en-GB"/>
        </w:rPr>
        <w:t xml:space="preserve"> institutions have or have not children with disabilities as students (some of those with disabilities are early school leavers due to lack of accessibility and the need of a permanent member of family to assist him/her in moving around)</w:t>
      </w:r>
    </w:p>
    <w:p w14:paraId="7FC8A70A" w14:textId="77777777" w:rsidR="00BB1102" w:rsidRPr="00C54EA3" w:rsidRDefault="00BB1102" w:rsidP="00C54EA3">
      <w:pPr>
        <w:pStyle w:val="ListParagraph"/>
        <w:numPr>
          <w:ilvl w:val="0"/>
          <w:numId w:val="29"/>
        </w:numPr>
        <w:ind w:left="567" w:hanging="567"/>
        <w:jc w:val="both"/>
        <w:rPr>
          <w:b/>
          <w:bCs/>
          <w:i/>
          <w:lang w:eastAsia="en-GB"/>
        </w:rPr>
      </w:pPr>
      <w:r w:rsidRPr="00C54EA3">
        <w:rPr>
          <w:bCs/>
          <w:lang w:eastAsia="en-GB"/>
        </w:rPr>
        <w:t>Modifying the curricula of vocational special high</w:t>
      </w:r>
      <w:r w:rsidR="00E8424A" w:rsidRPr="00C54EA3">
        <w:rPr>
          <w:bCs/>
          <w:lang w:eastAsia="en-GB"/>
        </w:rPr>
        <w:t xml:space="preserve"> </w:t>
      </w:r>
      <w:r w:rsidRPr="00C54EA3">
        <w:rPr>
          <w:bCs/>
          <w:lang w:eastAsia="en-GB"/>
        </w:rPr>
        <w:t xml:space="preserve">schools for young people with disabilities (particularly </w:t>
      </w:r>
      <w:r w:rsidR="00E8424A" w:rsidRPr="00C54EA3">
        <w:rPr>
          <w:bCs/>
          <w:lang w:eastAsia="en-GB"/>
        </w:rPr>
        <w:t xml:space="preserve">with </w:t>
      </w:r>
      <w:r w:rsidRPr="00C54EA3">
        <w:rPr>
          <w:bCs/>
          <w:lang w:eastAsia="en-GB"/>
        </w:rPr>
        <w:t>hearing and visual impairments) to be adapted to the requirements of the labo</w:t>
      </w:r>
      <w:r w:rsidR="00E8424A" w:rsidRPr="00C54EA3">
        <w:rPr>
          <w:bCs/>
          <w:lang w:eastAsia="en-GB"/>
        </w:rPr>
        <w:t>u</w:t>
      </w:r>
      <w:r w:rsidRPr="00C54EA3">
        <w:rPr>
          <w:bCs/>
          <w:lang w:eastAsia="en-GB"/>
        </w:rPr>
        <w:t>r market;</w:t>
      </w:r>
    </w:p>
    <w:p w14:paraId="4FBD1841" w14:textId="77777777" w:rsidR="00BB1102" w:rsidRPr="00C54EA3" w:rsidRDefault="00BB1102" w:rsidP="00C54EA3">
      <w:pPr>
        <w:pStyle w:val="ListParagraph"/>
        <w:numPr>
          <w:ilvl w:val="0"/>
          <w:numId w:val="29"/>
        </w:numPr>
        <w:ind w:left="567" w:hanging="567"/>
        <w:jc w:val="both"/>
        <w:rPr>
          <w:b/>
          <w:bCs/>
          <w:i/>
          <w:lang w:eastAsia="en-GB"/>
        </w:rPr>
      </w:pPr>
      <w:r w:rsidRPr="00C54EA3">
        <w:rPr>
          <w:bCs/>
          <w:lang w:eastAsia="en-GB"/>
        </w:rPr>
        <w:t>Providing support for families for school orientation of children with disabilities and</w:t>
      </w:r>
      <w:r w:rsidR="00E8424A" w:rsidRPr="00C54EA3">
        <w:rPr>
          <w:bCs/>
          <w:lang w:eastAsia="en-GB"/>
        </w:rPr>
        <w:t xml:space="preserve"> the</w:t>
      </w:r>
      <w:r w:rsidRPr="00C54EA3">
        <w:rPr>
          <w:bCs/>
          <w:lang w:eastAsia="en-GB"/>
        </w:rPr>
        <w:t xml:space="preserve"> importance of inclusive education. </w:t>
      </w:r>
    </w:p>
    <w:p w14:paraId="24584590" w14:textId="77777777" w:rsidR="00BB1102" w:rsidRPr="00C54EA3" w:rsidRDefault="00BB1102" w:rsidP="00C54EA3">
      <w:pPr>
        <w:jc w:val="both"/>
        <w:rPr>
          <w:b/>
          <w:bCs/>
          <w:i/>
          <w:lang w:eastAsia="en-GB"/>
        </w:rPr>
      </w:pPr>
    </w:p>
    <w:p w14:paraId="697177E2" w14:textId="77777777" w:rsidR="00BB1102" w:rsidRPr="00C54EA3" w:rsidRDefault="00BB1102" w:rsidP="00C54EA3">
      <w:pPr>
        <w:pStyle w:val="Heading2"/>
        <w:jc w:val="both"/>
        <w:rPr>
          <w:szCs w:val="24"/>
          <w:lang w:eastAsia="en-GB"/>
        </w:rPr>
      </w:pPr>
      <w:bookmarkStart w:id="31" w:name="_Toc508203275"/>
      <w:r w:rsidRPr="00C54EA3">
        <w:rPr>
          <w:szCs w:val="24"/>
          <w:lang w:eastAsia="en-GB"/>
        </w:rPr>
        <w:t>Pov</w:t>
      </w:r>
      <w:r w:rsidR="00A133EB" w:rsidRPr="00C54EA3">
        <w:rPr>
          <w:szCs w:val="24"/>
          <w:lang w:eastAsia="en-GB"/>
        </w:rPr>
        <w:t>erty and social inclusio</w:t>
      </w:r>
      <w:r w:rsidR="00CF028D" w:rsidRPr="00C54EA3">
        <w:rPr>
          <w:szCs w:val="24"/>
          <w:lang w:eastAsia="en-GB"/>
        </w:rPr>
        <w:t>n</w:t>
      </w:r>
      <w:bookmarkEnd w:id="31"/>
    </w:p>
    <w:p w14:paraId="4110F962" w14:textId="77777777" w:rsidR="00A133EB" w:rsidRPr="00C54EA3" w:rsidRDefault="00A133EB" w:rsidP="00C54EA3">
      <w:pPr>
        <w:jc w:val="both"/>
        <w:rPr>
          <w:b/>
          <w:bCs/>
          <w:lang w:eastAsia="en-GB"/>
        </w:rPr>
      </w:pPr>
    </w:p>
    <w:p w14:paraId="433C0E1A" w14:textId="77777777" w:rsidR="00BB1102" w:rsidRPr="00C54EA3" w:rsidRDefault="00BB1102" w:rsidP="00C54EA3">
      <w:pPr>
        <w:pStyle w:val="ListParagraph"/>
        <w:numPr>
          <w:ilvl w:val="0"/>
          <w:numId w:val="29"/>
        </w:numPr>
        <w:ind w:left="567" w:hanging="567"/>
        <w:jc w:val="both"/>
        <w:rPr>
          <w:b/>
          <w:bCs/>
          <w:lang w:eastAsia="en-GB"/>
        </w:rPr>
      </w:pPr>
      <w:r w:rsidRPr="00C54EA3">
        <w:rPr>
          <w:bCs/>
          <w:lang w:eastAsia="en-GB"/>
        </w:rPr>
        <w:lastRenderedPageBreak/>
        <w:t>Further need for significant reform in bala</w:t>
      </w:r>
      <w:r w:rsidR="00E8424A" w:rsidRPr="00C54EA3">
        <w:rPr>
          <w:bCs/>
          <w:lang w:eastAsia="en-GB"/>
        </w:rPr>
        <w:t>n</w:t>
      </w:r>
      <w:r w:rsidRPr="00C54EA3">
        <w:rPr>
          <w:bCs/>
          <w:lang w:eastAsia="en-GB"/>
        </w:rPr>
        <w:t xml:space="preserve">cing the </w:t>
      </w:r>
      <w:r w:rsidRPr="00C54EA3">
        <w:rPr>
          <w:bCs/>
          <w:i/>
          <w:lang w:eastAsia="en-GB"/>
        </w:rPr>
        <w:t xml:space="preserve">social benefits </w:t>
      </w:r>
      <w:r w:rsidRPr="00C54EA3">
        <w:rPr>
          <w:bCs/>
          <w:lang w:eastAsia="en-GB"/>
        </w:rPr>
        <w:t xml:space="preserve">with </w:t>
      </w:r>
      <w:r w:rsidRPr="00C54EA3">
        <w:rPr>
          <w:bCs/>
          <w:i/>
          <w:lang w:eastAsia="en-GB"/>
        </w:rPr>
        <w:t xml:space="preserve">active social services </w:t>
      </w:r>
      <w:r w:rsidRPr="00C54EA3">
        <w:rPr>
          <w:bCs/>
          <w:lang w:eastAsia="en-GB"/>
        </w:rPr>
        <w:t>aimed at including the person with disabilities in society;</w:t>
      </w:r>
    </w:p>
    <w:p w14:paraId="71F5CBB1" w14:textId="77777777" w:rsidR="00BB1102" w:rsidRPr="00C54EA3" w:rsidRDefault="00BB1102" w:rsidP="00C54EA3">
      <w:pPr>
        <w:pStyle w:val="ListParagraph"/>
        <w:numPr>
          <w:ilvl w:val="0"/>
          <w:numId w:val="29"/>
        </w:numPr>
        <w:ind w:left="567" w:hanging="567"/>
        <w:jc w:val="both"/>
        <w:rPr>
          <w:b/>
          <w:bCs/>
          <w:lang w:eastAsia="en-GB"/>
        </w:rPr>
      </w:pPr>
      <w:r w:rsidRPr="00C54EA3">
        <w:rPr>
          <w:bCs/>
          <w:lang w:eastAsia="en-GB"/>
        </w:rPr>
        <w:t xml:space="preserve">Pushing for </w:t>
      </w:r>
      <w:r w:rsidR="00E8424A" w:rsidRPr="00C54EA3">
        <w:rPr>
          <w:bCs/>
          <w:lang w:eastAsia="en-GB"/>
        </w:rPr>
        <w:t xml:space="preserve">a </w:t>
      </w:r>
      <w:r w:rsidRPr="00C54EA3">
        <w:rPr>
          <w:bCs/>
          <w:lang w:eastAsia="en-GB"/>
        </w:rPr>
        <w:t xml:space="preserve">national commitment to </w:t>
      </w:r>
      <w:r w:rsidR="007D7D66" w:rsidRPr="00C54EA3">
        <w:rPr>
          <w:bCs/>
          <w:lang w:eastAsia="en-GB"/>
        </w:rPr>
        <w:t>deinstitutionalization</w:t>
      </w:r>
      <w:r w:rsidRPr="00C54EA3">
        <w:rPr>
          <w:bCs/>
          <w:lang w:eastAsia="en-GB"/>
        </w:rPr>
        <w:t>, as there is no milestone</w:t>
      </w:r>
      <w:r w:rsidR="00E8424A" w:rsidRPr="00C54EA3">
        <w:rPr>
          <w:bCs/>
          <w:lang w:eastAsia="en-GB"/>
        </w:rPr>
        <w:t xml:space="preserve"> for this</w:t>
      </w:r>
      <w:r w:rsidRPr="00C54EA3">
        <w:rPr>
          <w:bCs/>
          <w:lang w:eastAsia="en-GB"/>
        </w:rPr>
        <w:t xml:space="preserve"> in the </w:t>
      </w:r>
      <w:r w:rsidR="00E8424A" w:rsidRPr="00C54EA3">
        <w:rPr>
          <w:bCs/>
          <w:lang w:eastAsia="en-GB"/>
        </w:rPr>
        <w:t>recently</w:t>
      </w:r>
      <w:r w:rsidRPr="00C54EA3">
        <w:rPr>
          <w:bCs/>
          <w:lang w:eastAsia="en-GB"/>
        </w:rPr>
        <w:t xml:space="preserve"> promoted National Strategy in th</w:t>
      </w:r>
      <w:r w:rsidR="00E8424A" w:rsidRPr="00C54EA3">
        <w:rPr>
          <w:bCs/>
          <w:lang w:eastAsia="en-GB"/>
        </w:rPr>
        <w:t>is</w:t>
      </w:r>
      <w:r w:rsidRPr="00C54EA3">
        <w:rPr>
          <w:bCs/>
          <w:lang w:eastAsia="en-GB"/>
        </w:rPr>
        <w:t xml:space="preserve"> respect</w:t>
      </w:r>
    </w:p>
    <w:p w14:paraId="7D9433BE" w14:textId="77777777" w:rsidR="00BB1102" w:rsidRPr="00C54EA3" w:rsidRDefault="00BB1102" w:rsidP="00C54EA3">
      <w:pPr>
        <w:pStyle w:val="ListParagraph"/>
        <w:numPr>
          <w:ilvl w:val="0"/>
          <w:numId w:val="29"/>
        </w:numPr>
        <w:ind w:left="567" w:hanging="567"/>
        <w:jc w:val="both"/>
        <w:rPr>
          <w:b/>
          <w:bCs/>
          <w:lang w:eastAsia="en-GB"/>
        </w:rPr>
      </w:pPr>
      <w:r w:rsidRPr="00C54EA3">
        <w:rPr>
          <w:bCs/>
          <w:lang w:eastAsia="en-GB"/>
        </w:rPr>
        <w:t>Integ</w:t>
      </w:r>
      <w:r w:rsidR="00E8424A" w:rsidRPr="00C54EA3">
        <w:rPr>
          <w:bCs/>
          <w:lang w:eastAsia="en-GB"/>
        </w:rPr>
        <w:t>r</w:t>
      </w:r>
      <w:r w:rsidRPr="00C54EA3">
        <w:rPr>
          <w:bCs/>
          <w:lang w:eastAsia="en-GB"/>
        </w:rPr>
        <w:t xml:space="preserve">ated approach in education and social assistance reform for diminishing the high level of economic and social vulnerability of people with disabilities in Romania. </w:t>
      </w:r>
    </w:p>
    <w:p w14:paraId="3991F656" w14:textId="77777777" w:rsidR="00957F11" w:rsidRPr="00C54EA3" w:rsidRDefault="00957F11" w:rsidP="00C54EA3">
      <w:pPr>
        <w:jc w:val="both"/>
      </w:pPr>
    </w:p>
    <w:sectPr w:rsidR="00957F11" w:rsidRPr="00C54EA3" w:rsidSect="00BA1AD1">
      <w:headerReference w:type="default" r:id="rId31"/>
      <w:footerReference w:type="default" r:id="rId32"/>
      <w:pgSz w:w="11906" w:h="16838"/>
      <w:pgMar w:top="1985" w:right="1418"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6F7BA" w14:textId="77777777" w:rsidR="00964364" w:rsidRDefault="00964364" w:rsidP="00AF323E">
      <w:r>
        <w:separator/>
      </w:r>
    </w:p>
  </w:endnote>
  <w:endnote w:type="continuationSeparator" w:id="0">
    <w:p w14:paraId="4FA874B0" w14:textId="77777777" w:rsidR="00964364" w:rsidRDefault="00964364" w:rsidP="00AF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DB391" w14:textId="7380DE65" w:rsidR="00964364" w:rsidRDefault="00964364" w:rsidP="00694F9D">
    <w:pPr>
      <w:pStyle w:val="Footer"/>
      <w:jc w:val="center"/>
    </w:pPr>
    <w:r>
      <w:fldChar w:fldCharType="begin"/>
    </w:r>
    <w:r>
      <w:instrText xml:space="preserve"> PAGE   \* MERGEFORMAT </w:instrText>
    </w:r>
    <w:r>
      <w:fldChar w:fldCharType="separate"/>
    </w:r>
    <w:r w:rsidR="00905165">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497FA" w14:textId="77777777" w:rsidR="00964364" w:rsidRDefault="00964364" w:rsidP="00AF323E">
      <w:r>
        <w:separator/>
      </w:r>
    </w:p>
  </w:footnote>
  <w:footnote w:type="continuationSeparator" w:id="0">
    <w:p w14:paraId="14DD1B08" w14:textId="77777777" w:rsidR="00964364" w:rsidRDefault="00964364" w:rsidP="00AF323E">
      <w:r>
        <w:continuationSeparator/>
      </w:r>
    </w:p>
  </w:footnote>
  <w:footnote w:id="1">
    <w:p w14:paraId="2DDA5F0A" w14:textId="77777777" w:rsidR="00964364" w:rsidRPr="008868A1" w:rsidRDefault="00964364" w:rsidP="008868A1">
      <w:pPr>
        <w:pStyle w:val="FootnoteText"/>
        <w:ind w:left="284" w:hanging="284"/>
        <w:rPr>
          <w:lang w:val="en-US"/>
        </w:rPr>
      </w:pPr>
      <w:r w:rsidRPr="008868A1">
        <w:rPr>
          <w:rStyle w:val="FootnoteReference"/>
        </w:rPr>
        <w:footnoteRef/>
      </w:r>
      <w:r w:rsidRPr="008868A1">
        <w:t xml:space="preserve"> </w:t>
      </w:r>
      <w:r w:rsidRPr="008868A1">
        <w:tab/>
      </w:r>
      <w:r w:rsidRPr="008868A1">
        <w:rPr>
          <w:lang w:val="en-US"/>
        </w:rPr>
        <w:t xml:space="preserve">Official statistics. Other references consider that this figure is wrongly calculated and </w:t>
      </w:r>
      <w:proofErr w:type="gramStart"/>
      <w:r w:rsidRPr="008868A1">
        <w:rPr>
          <w:lang w:val="en-US"/>
        </w:rPr>
        <w:t>actually employment</w:t>
      </w:r>
      <w:proofErr w:type="gramEnd"/>
      <w:r w:rsidRPr="008868A1">
        <w:rPr>
          <w:lang w:val="en-US"/>
        </w:rPr>
        <w:t xml:space="preserve"> rate is far lower. Please see discussion in the report.</w:t>
      </w:r>
    </w:p>
  </w:footnote>
  <w:footnote w:id="2">
    <w:p w14:paraId="2D7CCC10" w14:textId="3BB561D7" w:rsidR="00964364" w:rsidRPr="008868A1" w:rsidRDefault="00964364" w:rsidP="008868A1">
      <w:pPr>
        <w:pStyle w:val="FootnoteText"/>
        <w:ind w:left="284" w:hanging="284"/>
        <w:rPr>
          <w:lang w:val="ro-RO"/>
        </w:rPr>
      </w:pPr>
      <w:r w:rsidRPr="008868A1">
        <w:rPr>
          <w:rStyle w:val="FootnoteReference"/>
        </w:rPr>
        <w:footnoteRef/>
      </w:r>
      <w:r w:rsidRPr="008868A1">
        <w:t xml:space="preserve"> </w:t>
      </w:r>
      <w:r>
        <w:tab/>
      </w:r>
      <w:hyperlink r:id="rId1" w:history="1">
        <w:r w:rsidRPr="008868A1">
          <w:rPr>
            <w:rStyle w:val="Hyperlink"/>
          </w:rPr>
          <w:t>http://www.mmuncii.ro/j33/index.php/ro/comunicare/comunicate-de-presa/4909-cp-facilitati-persoane-dizabilitati-30062017</w:t>
        </w:r>
      </w:hyperlink>
      <w:r>
        <w:t>.</w:t>
      </w:r>
    </w:p>
  </w:footnote>
  <w:footnote w:id="3">
    <w:p w14:paraId="27AD5BF4" w14:textId="77777777" w:rsidR="00964364" w:rsidRPr="008868A1" w:rsidRDefault="00964364" w:rsidP="008868A1">
      <w:pPr>
        <w:pStyle w:val="FootnoteText"/>
        <w:ind w:left="284" w:hanging="284"/>
        <w:rPr>
          <w:lang w:val="ro-RO"/>
        </w:rPr>
      </w:pPr>
      <w:r w:rsidRPr="008868A1">
        <w:rPr>
          <w:rStyle w:val="FootnoteReference"/>
        </w:rPr>
        <w:footnoteRef/>
      </w:r>
      <w:r w:rsidRPr="008868A1">
        <w:rPr>
          <w:lang w:val="ro-RO"/>
        </w:rPr>
        <w:t xml:space="preserve"> </w:t>
      </w:r>
      <w:r w:rsidRPr="008868A1">
        <w:rPr>
          <w:lang w:val="ro-RO"/>
        </w:rPr>
        <w:tab/>
      </w:r>
      <w:hyperlink r:id="rId2" w:history="1">
        <w:r w:rsidRPr="008868A1">
          <w:rPr>
            <w:rStyle w:val="Hyperlink"/>
            <w:lang w:val="ro-RO"/>
          </w:rPr>
          <w:t>http://ec.europa.eu/europe2020/pdf/targets_en.pdf</w:t>
        </w:r>
      </w:hyperlink>
      <w:r w:rsidRPr="008868A1">
        <w:rPr>
          <w:rStyle w:val="Hyperlink"/>
          <w:u w:val="none"/>
          <w:lang w:val="ro-RO"/>
        </w:rPr>
        <w:t>.</w:t>
      </w:r>
    </w:p>
  </w:footnote>
  <w:footnote w:id="4">
    <w:p w14:paraId="40AD66D3" w14:textId="77777777" w:rsidR="00964364" w:rsidRPr="008868A1" w:rsidRDefault="00964364" w:rsidP="008868A1">
      <w:pPr>
        <w:pStyle w:val="FootnoteText"/>
        <w:ind w:left="284" w:hanging="284"/>
        <w:rPr>
          <w:lang w:val="ro-RO"/>
        </w:rPr>
      </w:pPr>
      <w:r w:rsidRPr="008868A1">
        <w:rPr>
          <w:rStyle w:val="FootnoteReference"/>
        </w:rPr>
        <w:footnoteRef/>
      </w:r>
      <w:r w:rsidRPr="008868A1">
        <w:t xml:space="preserve"> </w:t>
      </w:r>
      <w:r w:rsidRPr="008868A1">
        <w:tab/>
      </w:r>
      <w:r w:rsidRPr="008868A1">
        <w:rPr>
          <w:lang w:val="ro-RO"/>
        </w:rPr>
        <w:t xml:space="preserve">Available at </w:t>
      </w:r>
      <w:hyperlink r:id="rId3" w:history="1">
        <w:r w:rsidRPr="008868A1">
          <w:rPr>
            <w:rStyle w:val="Hyperlink"/>
            <w:lang w:val="ro-RO"/>
          </w:rPr>
          <w:t>http://www.mmuncii.ro/j33/index.php/ro/transparenta/proiecte-in-dezbatere/4076-2015-10-08-proiecthg-strateg-diz</w:t>
        </w:r>
      </w:hyperlink>
      <w:r w:rsidRPr="008868A1">
        <w:rPr>
          <w:lang w:val="ro-RO"/>
        </w:rPr>
        <w:t>.</w:t>
      </w:r>
    </w:p>
  </w:footnote>
  <w:footnote w:id="5">
    <w:p w14:paraId="574E758E" w14:textId="77777777" w:rsidR="00964364" w:rsidRPr="008868A1" w:rsidRDefault="00964364" w:rsidP="008868A1">
      <w:pPr>
        <w:pStyle w:val="FootnoteText"/>
        <w:ind w:left="284" w:hanging="284"/>
        <w:rPr>
          <w:lang w:val="ro-RO"/>
        </w:rPr>
      </w:pPr>
      <w:r w:rsidRPr="008868A1">
        <w:rPr>
          <w:rStyle w:val="FootnoteReference"/>
        </w:rPr>
        <w:footnoteRef/>
      </w:r>
      <w:r w:rsidRPr="008868A1">
        <w:rPr>
          <w:lang w:val="ro-RO"/>
        </w:rPr>
        <w:t xml:space="preserve"> </w:t>
      </w:r>
      <w:r w:rsidRPr="008868A1">
        <w:rPr>
          <w:lang w:val="ro-RO"/>
        </w:rPr>
        <w:tab/>
        <w:t>P. 22.</w:t>
      </w:r>
    </w:p>
  </w:footnote>
  <w:footnote w:id="6">
    <w:p w14:paraId="7800BEAB" w14:textId="77777777" w:rsidR="00964364" w:rsidRPr="008868A1" w:rsidRDefault="00964364" w:rsidP="008868A1">
      <w:pPr>
        <w:pStyle w:val="FootnoteText"/>
        <w:ind w:left="284" w:hanging="284"/>
        <w:rPr>
          <w:lang w:val="ro-RO"/>
        </w:rPr>
      </w:pPr>
      <w:r w:rsidRPr="008868A1">
        <w:rPr>
          <w:rStyle w:val="FootnoteReference"/>
        </w:rPr>
        <w:footnoteRef/>
      </w:r>
      <w:r w:rsidRPr="008868A1">
        <w:rPr>
          <w:lang w:val="ro-RO"/>
        </w:rPr>
        <w:t xml:space="preserve"> </w:t>
      </w:r>
      <w:r w:rsidRPr="008868A1">
        <w:rPr>
          <w:lang w:val="ro-RO"/>
        </w:rPr>
        <w:tab/>
      </w:r>
      <w:hyperlink r:id="rId4" w:history="1">
        <w:r w:rsidRPr="008868A1">
          <w:rPr>
            <w:rStyle w:val="Hyperlink"/>
            <w:lang w:val="ro-RO"/>
          </w:rPr>
          <w:t>http://www.mmuncii.ro/pub/imagemanager/images/file/Legislatie/LEGI/L448-2006_rep.pdf</w:t>
        </w:r>
      </w:hyperlink>
      <w:r w:rsidRPr="008868A1">
        <w:rPr>
          <w:lang w:val="ro-RO"/>
        </w:rPr>
        <w:t>.</w:t>
      </w:r>
    </w:p>
  </w:footnote>
  <w:footnote w:id="7">
    <w:p w14:paraId="4F898904" w14:textId="7953360B" w:rsidR="00964364" w:rsidRPr="008868A1" w:rsidRDefault="00964364" w:rsidP="008868A1">
      <w:pPr>
        <w:pStyle w:val="FootnoteText"/>
        <w:ind w:left="284" w:hanging="284"/>
      </w:pPr>
      <w:r w:rsidRPr="008868A1">
        <w:rPr>
          <w:rStyle w:val="FootnoteReference"/>
        </w:rPr>
        <w:footnoteRef/>
      </w:r>
      <w:r w:rsidRPr="008868A1">
        <w:t xml:space="preserve"> </w:t>
      </w:r>
      <w:r>
        <w:tab/>
      </w:r>
      <w:r w:rsidRPr="008868A1">
        <w:rPr>
          <w:lang w:eastAsia="en-GB"/>
        </w:rPr>
        <w:t>EUSILC UDB 2015 – version of October 2017</w:t>
      </w:r>
      <w:r>
        <w:rPr>
          <w:lang w:eastAsia="en-GB"/>
        </w:rPr>
        <w:t>.</w:t>
      </w:r>
    </w:p>
  </w:footnote>
  <w:footnote w:id="8">
    <w:p w14:paraId="6A5A4913" w14:textId="393D6A66" w:rsidR="00964364" w:rsidRPr="008868A1" w:rsidRDefault="00964364" w:rsidP="008868A1">
      <w:pPr>
        <w:pStyle w:val="FootnoteText"/>
        <w:ind w:left="284" w:hanging="284"/>
      </w:pPr>
      <w:r w:rsidRPr="008868A1">
        <w:rPr>
          <w:rStyle w:val="FootnoteReference"/>
        </w:rPr>
        <w:footnoteRef/>
      </w:r>
      <w:r w:rsidRPr="008868A1">
        <w:t xml:space="preserve"> </w:t>
      </w:r>
      <w:r>
        <w:tab/>
      </w:r>
      <w:r w:rsidRPr="008868A1">
        <w:t xml:space="preserve">The SILC survey questions are contained in the Minimum European Health Module (MEHM) </w:t>
      </w:r>
      <w:hyperlink r:id="rId5" w:history="1">
        <w:r w:rsidRPr="008868A1">
          <w:rPr>
            <w:rStyle w:val="Hyperlink"/>
          </w:rPr>
          <w:t>http://epp.eurostat.ec.europa.eu/statistics_explained/index.php/Glossary:Minimum_European_Health_Module_(MEHM)</w:t>
        </w:r>
      </w:hyperlink>
      <w:r>
        <w:rPr>
          <w:rStyle w:val="Hyperlink"/>
          <w:u w:val="none"/>
        </w:rPr>
        <w:t>.</w:t>
      </w:r>
      <w:r w:rsidRPr="008868A1">
        <w:t xml:space="preserve"> </w:t>
      </w:r>
    </w:p>
  </w:footnote>
  <w:footnote w:id="9">
    <w:p w14:paraId="24B249F3" w14:textId="522AF7AB" w:rsidR="00964364" w:rsidRPr="008868A1" w:rsidRDefault="00964364" w:rsidP="008868A1">
      <w:pPr>
        <w:pStyle w:val="FootnoteText"/>
        <w:ind w:left="284" w:hanging="284"/>
      </w:pPr>
      <w:r w:rsidRPr="008868A1">
        <w:rPr>
          <w:rStyle w:val="FootnoteReference"/>
        </w:rPr>
        <w:footnoteRef/>
      </w:r>
      <w:r w:rsidRPr="008868A1">
        <w:t xml:space="preserve"> </w:t>
      </w:r>
      <w:r>
        <w:tab/>
      </w:r>
      <w:r w:rsidRPr="008868A1">
        <w:t>The methodology is further explained in the annual statistica</w:t>
      </w:r>
      <w:r w:rsidR="00905165">
        <w:t xml:space="preserve">l reports of ANED, available at: </w:t>
      </w:r>
      <w:hyperlink r:id="rId6" w:history="1">
        <w:r w:rsidRPr="008868A1">
          <w:rPr>
            <w:rStyle w:val="Hyperlink"/>
          </w:rPr>
          <w:t>http://www.disability-europe.net/theme/statistical-indicators</w:t>
        </w:r>
      </w:hyperlink>
      <w:r>
        <w:rPr>
          <w:rStyle w:val="Hyperlink"/>
          <w:u w:val="none"/>
        </w:rPr>
        <w:t>.</w:t>
      </w:r>
      <w:r w:rsidRPr="008868A1">
        <w:t xml:space="preserve"> </w:t>
      </w:r>
    </w:p>
  </w:footnote>
  <w:footnote w:id="10">
    <w:p w14:paraId="477658B0" w14:textId="77777777" w:rsidR="00964364" w:rsidRPr="008868A1" w:rsidRDefault="00964364" w:rsidP="008868A1">
      <w:pPr>
        <w:pStyle w:val="FootnoteText"/>
        <w:ind w:left="284" w:hanging="284"/>
      </w:pPr>
      <w:r w:rsidRPr="008868A1">
        <w:rPr>
          <w:rStyle w:val="FootnoteReference"/>
        </w:rPr>
        <w:footnoteRef/>
      </w:r>
      <w:r w:rsidRPr="008868A1">
        <w:t xml:space="preserve"> </w:t>
      </w:r>
      <w:r w:rsidRPr="008868A1">
        <w:tab/>
      </w:r>
      <w:r w:rsidRPr="008868A1">
        <w:rPr>
          <w:lang w:val="en-US"/>
        </w:rPr>
        <w:t xml:space="preserve">Provided by the National Authority for People with Disabilities, available at: </w:t>
      </w:r>
      <w:hyperlink r:id="rId7" w:history="1">
        <w:r w:rsidRPr="008868A1">
          <w:rPr>
            <w:rStyle w:val="Hyperlink"/>
          </w:rPr>
          <w:t>http://anpd.gov.ro/web/transparenta/statistici/trimestriale/</w:t>
        </w:r>
      </w:hyperlink>
      <w:r w:rsidRPr="008868A1">
        <w:t>.</w:t>
      </w:r>
      <w:r w:rsidRPr="008868A1" w:rsidDel="00B51C39">
        <w:t xml:space="preserve"> </w:t>
      </w:r>
    </w:p>
  </w:footnote>
  <w:footnote w:id="11">
    <w:p w14:paraId="223537D9" w14:textId="77777777" w:rsidR="00964364" w:rsidRPr="008868A1" w:rsidRDefault="00964364" w:rsidP="008868A1">
      <w:pPr>
        <w:pStyle w:val="FootnoteText"/>
        <w:ind w:left="284" w:hanging="284"/>
        <w:rPr>
          <w:lang w:val="ro-RO"/>
        </w:rPr>
      </w:pPr>
      <w:r w:rsidRPr="008868A1">
        <w:rPr>
          <w:rStyle w:val="FootnoteReference"/>
        </w:rPr>
        <w:footnoteRef/>
      </w:r>
      <w:r w:rsidRPr="008868A1">
        <w:t xml:space="preserve"> </w:t>
      </w:r>
      <w:r w:rsidRPr="008868A1">
        <w:tab/>
      </w:r>
      <w:r w:rsidRPr="008868A1">
        <w:rPr>
          <w:lang w:val="ro-RO"/>
        </w:rPr>
        <w:t xml:space="preserve">For reference: </w:t>
      </w:r>
      <w:r w:rsidRPr="008868A1">
        <w:fldChar w:fldCharType="begin"/>
      </w:r>
      <w:r w:rsidRPr="008868A1">
        <w:instrText xml:space="preserve"> HYPERLINK "http://anpd.gov.ro/web/statistici/trimestriale/" </w:instrText>
      </w:r>
      <w:r w:rsidRPr="008868A1">
        <w:fldChar w:fldCharType="separate"/>
      </w:r>
      <w:r w:rsidRPr="008868A1">
        <w:rPr>
          <w:rStyle w:val="Hyperlink"/>
          <w:lang w:val="ro-RO"/>
        </w:rPr>
        <w:t>http://anpd.gov.ro/web/statistici/trimestriale/</w:t>
      </w:r>
      <w:r w:rsidRPr="008868A1">
        <w:rPr>
          <w:rStyle w:val="Hyperlink"/>
          <w:lang w:val="ro-RO"/>
        </w:rPr>
        <w:fldChar w:fldCharType="end"/>
      </w:r>
      <w:r w:rsidRPr="008868A1">
        <w:rPr>
          <w:lang w:val="ro-RO"/>
        </w:rPr>
        <w:t>.</w:t>
      </w:r>
    </w:p>
  </w:footnote>
  <w:footnote w:id="12">
    <w:p w14:paraId="6EAC467D" w14:textId="77777777" w:rsidR="00964364" w:rsidRPr="008868A1" w:rsidRDefault="00964364" w:rsidP="008868A1">
      <w:pPr>
        <w:pStyle w:val="FootnoteText"/>
        <w:ind w:left="284" w:hanging="284"/>
        <w:rPr>
          <w:lang w:val="en-US"/>
        </w:rPr>
      </w:pPr>
      <w:r w:rsidRPr="008868A1">
        <w:rPr>
          <w:rStyle w:val="FootnoteReference"/>
        </w:rPr>
        <w:footnoteRef/>
      </w:r>
      <w:r w:rsidRPr="008868A1">
        <w:t xml:space="preserve"> </w:t>
      </w:r>
      <w:r w:rsidRPr="008868A1">
        <w:tab/>
      </w:r>
      <w:r w:rsidRPr="008868A1">
        <w:rPr>
          <w:lang w:val="en-US"/>
        </w:rPr>
        <w:t xml:space="preserve">Companies/entities with at least 30% of their employees being people with disabilities. Full list of protected units authorized by the Ministry of </w:t>
      </w:r>
      <w:proofErr w:type="spellStart"/>
      <w:r w:rsidRPr="008868A1">
        <w:rPr>
          <w:lang w:val="en-US"/>
        </w:rPr>
        <w:t>Labour</w:t>
      </w:r>
      <w:proofErr w:type="spellEnd"/>
      <w:r w:rsidRPr="008868A1">
        <w:rPr>
          <w:lang w:val="en-US"/>
        </w:rPr>
        <w:t xml:space="preserve"> and Social Justice available at: </w:t>
      </w:r>
      <w:hyperlink r:id="rId8" w:history="1">
        <w:r w:rsidRPr="008868A1">
          <w:rPr>
            <w:rStyle w:val="Hyperlink"/>
            <w:lang w:val="en-US"/>
          </w:rPr>
          <w:t>http://anpd.gov.ro/web/informatii-publice/lista-unitati-protejate/</w:t>
        </w:r>
      </w:hyperlink>
      <w:r w:rsidRPr="008868A1">
        <w:rPr>
          <w:lang w:val="en-US"/>
        </w:rPr>
        <w:t>.</w:t>
      </w:r>
    </w:p>
  </w:footnote>
  <w:footnote w:id="13">
    <w:p w14:paraId="62190E43" w14:textId="310FAC1A" w:rsidR="00964364" w:rsidRPr="008868A1" w:rsidRDefault="00964364" w:rsidP="008868A1">
      <w:pPr>
        <w:pStyle w:val="FootnoteText"/>
        <w:ind w:left="284" w:hanging="284"/>
        <w:rPr>
          <w:lang w:val="ro-RO"/>
        </w:rPr>
      </w:pPr>
      <w:r w:rsidRPr="008868A1">
        <w:rPr>
          <w:rStyle w:val="FootnoteReference"/>
        </w:rPr>
        <w:footnoteRef/>
      </w:r>
      <w:r w:rsidRPr="008868A1">
        <w:t xml:space="preserve"> </w:t>
      </w:r>
      <w:r>
        <w:tab/>
      </w:r>
      <w:hyperlink r:id="rId9" w:history="1">
        <w:r w:rsidRPr="008868A1">
          <w:rPr>
            <w:rStyle w:val="Hyperlink"/>
          </w:rPr>
          <w:t>http://www.mmuncii.ro/j33/index.php/ro/comunicare/comunicate-de-presa/4956-cp-upa-22082017</w:t>
        </w:r>
      </w:hyperlink>
      <w:r>
        <w:t>.</w:t>
      </w:r>
    </w:p>
  </w:footnote>
  <w:footnote w:id="14">
    <w:p w14:paraId="7B5121F1" w14:textId="16EA85FE" w:rsidR="00964364" w:rsidRPr="008868A1" w:rsidRDefault="00964364" w:rsidP="008868A1">
      <w:pPr>
        <w:pStyle w:val="FootnoteText"/>
        <w:ind w:left="284" w:hanging="284"/>
      </w:pPr>
      <w:r w:rsidRPr="008868A1">
        <w:rPr>
          <w:rStyle w:val="FootnoteReference"/>
        </w:rPr>
        <w:footnoteRef/>
      </w:r>
      <w:r w:rsidRPr="008868A1">
        <w:t xml:space="preserve"> </w:t>
      </w:r>
      <w:r>
        <w:tab/>
      </w:r>
      <w:r w:rsidRPr="008868A1">
        <w:t xml:space="preserve">For the LFS AHM data see, Early school leavers </w:t>
      </w:r>
      <w:hyperlink r:id="rId10" w:history="1">
        <w:r w:rsidRPr="008868A1">
          <w:rPr>
            <w:rStyle w:val="Hyperlink"/>
          </w:rPr>
          <w:t>http://appsso.eurostat.ec.europa.eu/nui/show.do?dataset=hlth_de010&amp;lang=en</w:t>
        </w:r>
      </w:hyperlink>
      <w:r w:rsidRPr="008868A1">
        <w:t xml:space="preserve"> </w:t>
      </w:r>
    </w:p>
    <w:p w14:paraId="72901B34" w14:textId="535EE2BA" w:rsidR="00964364" w:rsidRPr="008868A1" w:rsidRDefault="00964364" w:rsidP="008868A1">
      <w:pPr>
        <w:pStyle w:val="FootnoteText"/>
        <w:ind w:left="284" w:hanging="284"/>
      </w:pPr>
      <w:r>
        <w:tab/>
      </w:r>
      <w:r w:rsidRPr="008868A1">
        <w:t xml:space="preserve">and for tertiary educational attainment </w:t>
      </w:r>
      <w:hyperlink r:id="rId11" w:history="1">
        <w:r w:rsidRPr="008868A1">
          <w:rPr>
            <w:rStyle w:val="Hyperlink"/>
          </w:rPr>
          <w:t>http://appsso.eurostat.ec.europa.eu/nui/show.do?dataset=hlth_de020&amp;lang=en</w:t>
        </w:r>
      </w:hyperlink>
      <w:r>
        <w:rPr>
          <w:rStyle w:val="Hyperlink"/>
          <w:u w:val="none"/>
        </w:rPr>
        <w:t>.</w:t>
      </w:r>
      <w:r w:rsidRPr="008868A1">
        <w:t xml:space="preserve"> </w:t>
      </w:r>
    </w:p>
  </w:footnote>
  <w:footnote w:id="15">
    <w:p w14:paraId="5212E7CB" w14:textId="77777777" w:rsidR="00964364" w:rsidRPr="008868A1" w:rsidRDefault="00964364" w:rsidP="008868A1">
      <w:pPr>
        <w:pStyle w:val="FootnoteText"/>
        <w:ind w:left="284" w:hanging="284"/>
        <w:rPr>
          <w:lang w:val="ro-RO"/>
        </w:rPr>
      </w:pPr>
      <w:r w:rsidRPr="008868A1">
        <w:rPr>
          <w:rStyle w:val="FootnoteReference"/>
        </w:rPr>
        <w:footnoteRef/>
      </w:r>
      <w:r w:rsidRPr="008868A1">
        <w:t xml:space="preserve"> </w:t>
      </w:r>
      <w:r w:rsidRPr="008868A1">
        <w:tab/>
      </w:r>
      <w:hyperlink r:id="rId12" w:history="1">
        <w:r w:rsidRPr="008868A1">
          <w:rPr>
            <w:rStyle w:val="Hyperlink"/>
          </w:rPr>
          <w:t>http://www.ipp.ro/wp-content/uploads/2015/07/IPP_Funda%C8%9Bia-Speran%C8%9Ba-_Raport-educatie-incluziva-pentru-copiii-cu-dizabilitati.pdf</w:t>
        </w:r>
      </w:hyperlink>
      <w:r w:rsidRPr="008868A1">
        <w:t>.</w:t>
      </w:r>
    </w:p>
  </w:footnote>
  <w:footnote w:id="16">
    <w:p w14:paraId="3A532D97" w14:textId="384DF425" w:rsidR="00964364" w:rsidRPr="008868A1" w:rsidRDefault="00964364" w:rsidP="008868A1">
      <w:pPr>
        <w:pStyle w:val="FootnoteText"/>
        <w:ind w:left="284" w:hanging="284"/>
        <w:rPr>
          <w:lang w:val="ro-RO"/>
        </w:rPr>
      </w:pPr>
      <w:r w:rsidRPr="008868A1">
        <w:rPr>
          <w:rStyle w:val="FootnoteReference"/>
        </w:rPr>
        <w:footnoteRef/>
      </w:r>
      <w:r w:rsidRPr="008868A1">
        <w:t xml:space="preserve"> </w:t>
      </w:r>
      <w:r>
        <w:tab/>
      </w:r>
      <w:r w:rsidRPr="008868A1">
        <w:t xml:space="preserve">National Institute for Statistics, </w:t>
      </w:r>
      <w:r w:rsidRPr="008868A1">
        <w:rPr>
          <w:i/>
        </w:rPr>
        <w:t xml:space="preserve">Data base SCL113A – Early school leavers rate in pre-university education, by education level, </w:t>
      </w:r>
      <w:proofErr w:type="spellStart"/>
      <w:r w:rsidRPr="008868A1">
        <w:rPr>
          <w:i/>
        </w:rPr>
        <w:t>macroregions</w:t>
      </w:r>
      <w:proofErr w:type="spellEnd"/>
      <w:r w:rsidRPr="008868A1">
        <w:rPr>
          <w:i/>
        </w:rPr>
        <w:t>, development regions and counties</w:t>
      </w:r>
      <w:r>
        <w:rPr>
          <w:i/>
        </w:rPr>
        <w:t>.</w:t>
      </w:r>
    </w:p>
  </w:footnote>
  <w:footnote w:id="17">
    <w:p w14:paraId="2408C157" w14:textId="4F543E73" w:rsidR="00964364" w:rsidRPr="008868A1" w:rsidRDefault="00964364" w:rsidP="008868A1">
      <w:pPr>
        <w:pStyle w:val="FootnoteText"/>
        <w:ind w:left="284" w:hanging="284"/>
        <w:rPr>
          <w:lang w:val="ro-RO"/>
        </w:rPr>
      </w:pPr>
      <w:r w:rsidRPr="008868A1">
        <w:rPr>
          <w:rStyle w:val="FootnoteReference"/>
        </w:rPr>
        <w:footnoteRef/>
      </w:r>
      <w:r w:rsidRPr="008868A1">
        <w:t xml:space="preserve"> </w:t>
      </w:r>
      <w:r>
        <w:tab/>
      </w:r>
      <w:r w:rsidRPr="008868A1">
        <w:t xml:space="preserve">National Institute for Statistics, </w:t>
      </w:r>
      <w:r w:rsidRPr="008868A1">
        <w:rPr>
          <w:i/>
        </w:rPr>
        <w:t xml:space="preserve">Data base SCL113A – Early school leavers rate in pre-university education, by education level, </w:t>
      </w:r>
      <w:proofErr w:type="spellStart"/>
      <w:r w:rsidRPr="008868A1">
        <w:rPr>
          <w:i/>
        </w:rPr>
        <w:t>macroregions</w:t>
      </w:r>
      <w:proofErr w:type="spellEnd"/>
      <w:r w:rsidRPr="008868A1">
        <w:rPr>
          <w:i/>
        </w:rPr>
        <w:t>, development regions and counties</w:t>
      </w:r>
      <w:r>
        <w:rPr>
          <w:i/>
        </w:rPr>
        <w:t>.</w:t>
      </w:r>
    </w:p>
  </w:footnote>
  <w:footnote w:id="18">
    <w:p w14:paraId="0777D66C" w14:textId="389D36B0" w:rsidR="00964364" w:rsidRPr="00C54EA3" w:rsidRDefault="00964364" w:rsidP="00C54EA3">
      <w:pPr>
        <w:pStyle w:val="FootnoteText"/>
        <w:ind w:left="284" w:hanging="284"/>
      </w:pPr>
      <w:r w:rsidRPr="008868A1">
        <w:rPr>
          <w:rStyle w:val="FootnoteReference"/>
        </w:rPr>
        <w:footnoteRef/>
      </w:r>
      <w:r w:rsidRPr="008868A1">
        <w:t xml:space="preserve"> </w:t>
      </w:r>
      <w:r>
        <w:tab/>
      </w:r>
      <w:r w:rsidRPr="008868A1">
        <w:t xml:space="preserve">National Institute for Statistics, </w:t>
      </w:r>
      <w:r w:rsidRPr="008868A1">
        <w:rPr>
          <w:i/>
        </w:rPr>
        <w:t xml:space="preserve">Data base SCL113A – Early school leavers rate in pre-university education, by education level, </w:t>
      </w:r>
      <w:proofErr w:type="spellStart"/>
      <w:r w:rsidRPr="008868A1">
        <w:rPr>
          <w:i/>
        </w:rPr>
        <w:t>macroregions</w:t>
      </w:r>
      <w:proofErr w:type="spellEnd"/>
      <w:r w:rsidRPr="008868A1">
        <w:rPr>
          <w:i/>
        </w:rPr>
        <w:t>, development regions and counties</w:t>
      </w:r>
      <w:r>
        <w:rPr>
          <w:i/>
        </w:rPr>
        <w:t>.</w:t>
      </w:r>
    </w:p>
  </w:footnote>
  <w:footnote w:id="19">
    <w:p w14:paraId="1B69AC67" w14:textId="77777777" w:rsidR="00964364" w:rsidRPr="008868A1" w:rsidRDefault="00964364" w:rsidP="008868A1">
      <w:pPr>
        <w:pStyle w:val="FootnoteText"/>
        <w:ind w:left="284" w:hanging="284"/>
        <w:rPr>
          <w:lang w:val="ro-RO"/>
        </w:rPr>
      </w:pPr>
      <w:r w:rsidRPr="008868A1">
        <w:rPr>
          <w:rStyle w:val="FootnoteReference"/>
        </w:rPr>
        <w:footnoteRef/>
      </w:r>
      <w:r w:rsidRPr="008868A1">
        <w:rPr>
          <w:lang w:val="ro-RO"/>
        </w:rPr>
        <w:t xml:space="preserve"> </w:t>
      </w:r>
      <w:r w:rsidRPr="008868A1">
        <w:rPr>
          <w:lang w:val="ro-RO"/>
        </w:rPr>
        <w:tab/>
      </w:r>
      <w:hyperlink r:id="rId13" w:history="1">
        <w:r w:rsidRPr="008868A1">
          <w:rPr>
            <w:rStyle w:val="Hyperlink"/>
            <w:lang w:val="ro-RO"/>
          </w:rPr>
          <w:t>http://www.mmuncii.ro/j33/images/Documente/Proiecte_in_dezbatere/2014/2014-12-29-HG_Anexa-SN-DPPD.pdf</w:t>
        </w:r>
      </w:hyperlink>
      <w:r w:rsidRPr="008868A1">
        <w:rPr>
          <w:lang w:val="ro-RO"/>
        </w:rPr>
        <w:t>.</w:t>
      </w:r>
    </w:p>
  </w:footnote>
  <w:footnote w:id="20">
    <w:p w14:paraId="4007A39D" w14:textId="77777777" w:rsidR="00964364" w:rsidRPr="008868A1" w:rsidRDefault="00964364" w:rsidP="008868A1">
      <w:pPr>
        <w:pStyle w:val="FootnoteText"/>
        <w:ind w:left="284" w:hanging="284"/>
        <w:rPr>
          <w:lang w:val="ro-RO"/>
        </w:rPr>
      </w:pPr>
      <w:r w:rsidRPr="008868A1">
        <w:rPr>
          <w:rStyle w:val="FootnoteReference"/>
        </w:rPr>
        <w:footnoteRef/>
      </w:r>
      <w:r w:rsidRPr="008868A1">
        <w:rPr>
          <w:lang w:val="ro-RO"/>
        </w:rPr>
        <w:t xml:space="preserve"> </w:t>
      </w:r>
      <w:r w:rsidRPr="008868A1">
        <w:rPr>
          <w:lang w:val="ro-RO"/>
        </w:rPr>
        <w:tab/>
        <w:t>P. 24.</w:t>
      </w:r>
    </w:p>
  </w:footnote>
  <w:footnote w:id="21">
    <w:p w14:paraId="001CA0B8" w14:textId="47412F01" w:rsidR="00964364" w:rsidRPr="00A11A79" w:rsidRDefault="00964364" w:rsidP="008868A1">
      <w:pPr>
        <w:pStyle w:val="FootnoteText"/>
        <w:ind w:left="284" w:hanging="284"/>
        <w:rPr>
          <w:lang w:val="ro-RO"/>
        </w:rPr>
      </w:pPr>
      <w:r w:rsidRPr="008868A1">
        <w:rPr>
          <w:rStyle w:val="FootnoteReference"/>
        </w:rPr>
        <w:footnoteRef/>
      </w:r>
      <w:r w:rsidRPr="008868A1">
        <w:rPr>
          <w:lang w:val="ro-RO"/>
        </w:rPr>
        <w:t xml:space="preserve"> </w:t>
      </w:r>
      <w:r>
        <w:rPr>
          <w:lang w:val="ro-RO"/>
        </w:rPr>
        <w:tab/>
      </w:r>
      <w:hyperlink r:id="rId14" w:history="1">
        <w:r w:rsidRPr="00A11A79">
          <w:rPr>
            <w:rStyle w:val="Hyperlink"/>
            <w:lang w:val="ro-RO"/>
          </w:rPr>
          <w:t>http://www.mediafax.ro/social/foto-inscrierea-facultate-mii-candidati-coada-depune-dosarul-ase-bucuresti-cele-cautate-facultati-universitatile-cluj-aproape-10-000-locuri-bugetate-peste-jumatate-ubb-16585096</w:t>
        </w:r>
      </w:hyperlink>
      <w:r>
        <w:rPr>
          <w:lang w:val="ro-RO"/>
        </w:rPr>
        <w:t>.</w:t>
      </w:r>
    </w:p>
  </w:footnote>
  <w:footnote w:id="22">
    <w:p w14:paraId="654E6EC9" w14:textId="4B7E8AD0" w:rsidR="00964364" w:rsidRPr="00A11A79" w:rsidRDefault="00964364" w:rsidP="008868A1">
      <w:pPr>
        <w:pStyle w:val="FootnoteText"/>
        <w:ind w:left="284" w:hanging="284"/>
        <w:rPr>
          <w:lang w:val="ro-RO"/>
        </w:rPr>
      </w:pPr>
      <w:r w:rsidRPr="008868A1">
        <w:rPr>
          <w:rStyle w:val="FootnoteReference"/>
        </w:rPr>
        <w:footnoteRef/>
      </w:r>
      <w:r w:rsidRPr="008868A1">
        <w:rPr>
          <w:lang w:val="ro-RO"/>
        </w:rPr>
        <w:t xml:space="preserve"> </w:t>
      </w:r>
      <w:r>
        <w:rPr>
          <w:lang w:val="ro-RO"/>
        </w:rPr>
        <w:tab/>
      </w:r>
      <w:hyperlink r:id="rId15" w:history="1">
        <w:r w:rsidRPr="00A11A79">
          <w:rPr>
            <w:rStyle w:val="Hyperlink"/>
            <w:lang w:val="ro-RO"/>
          </w:rPr>
          <w:t>http://socasis.ubbcluj.ro/index.php?option=com_content&amp;view=article&amp;id=19&amp;Itemid=21</w:t>
        </w:r>
      </w:hyperlink>
      <w:r>
        <w:rPr>
          <w:lang w:val="ro-RO"/>
        </w:rPr>
        <w:t>.</w:t>
      </w:r>
    </w:p>
  </w:footnote>
  <w:footnote w:id="23">
    <w:p w14:paraId="0CFCFADA" w14:textId="0A1FB4CF" w:rsidR="00964364" w:rsidRPr="00A11A79" w:rsidRDefault="00964364" w:rsidP="008868A1">
      <w:pPr>
        <w:pStyle w:val="FootnoteText"/>
        <w:ind w:left="284" w:hanging="284"/>
        <w:rPr>
          <w:lang w:val="ro-RO"/>
        </w:rPr>
      </w:pPr>
      <w:r w:rsidRPr="008868A1">
        <w:rPr>
          <w:rStyle w:val="FootnoteReference"/>
        </w:rPr>
        <w:footnoteRef/>
      </w:r>
      <w:r w:rsidRPr="008868A1">
        <w:rPr>
          <w:lang w:val="ro-RO"/>
        </w:rPr>
        <w:t xml:space="preserve"> </w:t>
      </w:r>
      <w:r>
        <w:rPr>
          <w:lang w:val="ro-RO"/>
        </w:rPr>
        <w:tab/>
      </w:r>
      <w:hyperlink r:id="rId16" w:history="1">
        <w:r w:rsidRPr="00A11A79">
          <w:rPr>
            <w:rStyle w:val="Hyperlink"/>
            <w:lang w:val="ro-RO"/>
          </w:rPr>
          <w:t>https://www.valahia.ro/ro/admitere-ro/118-admitere</w:t>
        </w:r>
      </w:hyperlink>
      <w:r>
        <w:rPr>
          <w:lang w:val="ro-RO"/>
        </w:rPr>
        <w:t>.</w:t>
      </w:r>
    </w:p>
  </w:footnote>
  <w:footnote w:id="24">
    <w:p w14:paraId="60303949" w14:textId="77777777" w:rsidR="00964364" w:rsidRPr="008868A1" w:rsidRDefault="00964364" w:rsidP="008868A1">
      <w:pPr>
        <w:pStyle w:val="FootnoteText"/>
        <w:ind w:left="284" w:hanging="284"/>
        <w:rPr>
          <w:lang w:val="ro-RO"/>
        </w:rPr>
      </w:pPr>
      <w:r w:rsidRPr="008868A1">
        <w:rPr>
          <w:rStyle w:val="FootnoteReference"/>
        </w:rPr>
        <w:footnoteRef/>
      </w:r>
      <w:r w:rsidRPr="008868A1">
        <w:rPr>
          <w:lang w:val="ro-RO"/>
        </w:rPr>
        <w:t xml:space="preserve"> </w:t>
      </w:r>
      <w:r w:rsidRPr="008868A1">
        <w:rPr>
          <w:lang w:val="ro-RO"/>
        </w:rPr>
        <w:tab/>
        <w:t>P. 22.</w:t>
      </w:r>
    </w:p>
  </w:footnote>
  <w:footnote w:id="25">
    <w:p w14:paraId="35129949" w14:textId="738AF640" w:rsidR="00964364" w:rsidRPr="00A11A79" w:rsidRDefault="00964364" w:rsidP="008868A1">
      <w:pPr>
        <w:pStyle w:val="FootnoteText"/>
        <w:ind w:left="284" w:hanging="284"/>
        <w:rPr>
          <w:lang w:val="ro-RO"/>
        </w:rPr>
      </w:pPr>
      <w:r w:rsidRPr="008868A1">
        <w:rPr>
          <w:rStyle w:val="FootnoteReference"/>
        </w:rPr>
        <w:footnoteRef/>
      </w:r>
      <w:r w:rsidRPr="008868A1">
        <w:rPr>
          <w:lang w:val="ro-RO"/>
        </w:rPr>
        <w:t xml:space="preserve"> </w:t>
      </w:r>
      <w:r>
        <w:rPr>
          <w:lang w:val="ro-RO"/>
        </w:rPr>
        <w:tab/>
      </w:r>
      <w:hyperlink r:id="rId17" w:history="1">
        <w:r w:rsidRPr="00A11A79">
          <w:rPr>
            <w:rStyle w:val="Hyperlink"/>
            <w:lang w:val="ro-RO"/>
          </w:rPr>
          <w:t>http://anpd.gov.ro/web/comunicat/</w:t>
        </w:r>
      </w:hyperlink>
      <w:r>
        <w:rPr>
          <w:lang w:val="ro-RO"/>
        </w:rPr>
        <w:t>.</w:t>
      </w:r>
    </w:p>
  </w:footnote>
  <w:footnote w:id="26">
    <w:p w14:paraId="258F5159" w14:textId="0B5EB54D" w:rsidR="00964364" w:rsidRPr="00A11A79" w:rsidRDefault="00964364" w:rsidP="008868A1">
      <w:pPr>
        <w:pStyle w:val="FootnoteText"/>
        <w:ind w:left="284" w:hanging="284"/>
        <w:rPr>
          <w:lang w:val="ro-RO"/>
        </w:rPr>
      </w:pPr>
      <w:r w:rsidRPr="008868A1">
        <w:rPr>
          <w:rStyle w:val="FootnoteReference"/>
        </w:rPr>
        <w:footnoteRef/>
      </w:r>
      <w:r w:rsidRPr="008868A1">
        <w:rPr>
          <w:lang w:val="ro-RO"/>
        </w:rPr>
        <w:t xml:space="preserve"> </w:t>
      </w:r>
      <w:r>
        <w:rPr>
          <w:lang w:val="ro-RO"/>
        </w:rPr>
        <w:tab/>
      </w:r>
      <w:hyperlink r:id="rId18" w:history="1">
        <w:r w:rsidRPr="00A11A79">
          <w:rPr>
            <w:rStyle w:val="Hyperlink"/>
            <w:lang w:val="ro-RO"/>
          </w:rPr>
          <w:t>https://www.news.ro/social/protest-al-persoanelor-cu-dizabilitati-la-ministerul-muncii-fata-de-adoptarea-oug-60-vrem-sa-muncim-nu-sa-cersim-reactia-ministerului-muncii-1924404122002017081317162509</w:t>
        </w:r>
      </w:hyperlink>
      <w:r>
        <w:rPr>
          <w:lang w:val="ro-RO"/>
        </w:rPr>
        <w:t>.</w:t>
      </w:r>
    </w:p>
  </w:footnote>
  <w:footnote w:id="27">
    <w:p w14:paraId="06309648" w14:textId="77777777" w:rsidR="00964364" w:rsidRPr="008868A1" w:rsidRDefault="00964364" w:rsidP="008868A1">
      <w:pPr>
        <w:pStyle w:val="FootnoteText"/>
        <w:ind w:left="284" w:hanging="284"/>
        <w:rPr>
          <w:lang w:val="en-US"/>
        </w:rPr>
      </w:pPr>
      <w:r w:rsidRPr="008868A1">
        <w:rPr>
          <w:rStyle w:val="FootnoteReference"/>
        </w:rPr>
        <w:footnoteRef/>
      </w:r>
      <w:r w:rsidRPr="008868A1">
        <w:t xml:space="preserve"> </w:t>
      </w:r>
      <w:r w:rsidRPr="008868A1">
        <w:tab/>
        <w:t xml:space="preserve">Excerpt from the Report of the </w:t>
      </w:r>
      <w:r w:rsidRPr="008868A1">
        <w:rPr>
          <w:i/>
        </w:rPr>
        <w:t xml:space="preserve">Institute for Public Policy, </w:t>
      </w:r>
      <w:r w:rsidRPr="008868A1">
        <w:rPr>
          <w:i/>
          <w:lang w:val="en-US"/>
        </w:rPr>
        <w:t xml:space="preserve">Education – (lack of) chance for integration for children with disability in Romania, </w:t>
      </w:r>
      <w:r w:rsidRPr="008868A1">
        <w:rPr>
          <w:lang w:val="en-US"/>
        </w:rPr>
        <w:t>March 2015.</w:t>
      </w:r>
    </w:p>
  </w:footnote>
  <w:footnote w:id="28">
    <w:p w14:paraId="1101FE8F" w14:textId="77777777" w:rsidR="00964364" w:rsidRPr="008868A1" w:rsidRDefault="00964364" w:rsidP="008868A1">
      <w:pPr>
        <w:pStyle w:val="FootnoteText"/>
        <w:ind w:left="284" w:hanging="284"/>
        <w:rPr>
          <w:lang w:val="ro-RO"/>
        </w:rPr>
      </w:pPr>
      <w:r w:rsidRPr="008868A1">
        <w:rPr>
          <w:rStyle w:val="FootnoteReference"/>
        </w:rPr>
        <w:footnoteRef/>
      </w:r>
      <w:r w:rsidRPr="008868A1">
        <w:t xml:space="preserve"> </w:t>
      </w:r>
      <w:r w:rsidRPr="008868A1">
        <w:tab/>
      </w:r>
      <w:hyperlink r:id="rId19" w:history="1">
        <w:r w:rsidRPr="008868A1">
          <w:rPr>
            <w:rStyle w:val="Hyperlink"/>
          </w:rPr>
          <w:t>http://anpd.gov.ro/web/transparenta/statistici/trimestriale/</w:t>
        </w:r>
      </w:hyperlink>
      <w:r w:rsidRPr="008868A1">
        <w:rPr>
          <w:rStyle w:val="Hyperlink"/>
          <w:u w:val="none"/>
        </w:rPr>
        <w:t>.</w:t>
      </w:r>
    </w:p>
  </w:footnote>
  <w:footnote w:id="29">
    <w:p w14:paraId="148F627C" w14:textId="0639FB66" w:rsidR="00964364" w:rsidRPr="00A11A79" w:rsidRDefault="00964364" w:rsidP="008868A1">
      <w:pPr>
        <w:pStyle w:val="FootnoteText"/>
        <w:ind w:left="284" w:hanging="284"/>
        <w:rPr>
          <w:lang w:val="ro-RO"/>
        </w:rPr>
      </w:pPr>
      <w:r w:rsidRPr="008868A1">
        <w:rPr>
          <w:rStyle w:val="FootnoteReference"/>
        </w:rPr>
        <w:footnoteRef/>
      </w:r>
      <w:r w:rsidRPr="008868A1">
        <w:rPr>
          <w:lang w:val="ro-RO"/>
        </w:rPr>
        <w:t xml:space="preserve"> </w:t>
      </w:r>
      <w:r>
        <w:rPr>
          <w:lang w:val="ro-RO"/>
        </w:rPr>
        <w:tab/>
      </w:r>
      <w:hyperlink r:id="rId20" w:history="1">
        <w:r w:rsidRPr="00A11A79">
          <w:rPr>
            <w:rStyle w:val="Hyperlink"/>
            <w:lang w:val="ro-RO"/>
          </w:rPr>
          <w:t>http://www.copii.ro/statistici-2017/</w:t>
        </w:r>
      </w:hyperlink>
      <w:r>
        <w:rPr>
          <w:lang w:val="ro-RO"/>
        </w:rPr>
        <w:t>.</w:t>
      </w:r>
    </w:p>
  </w:footnote>
  <w:footnote w:id="30">
    <w:p w14:paraId="5BC1DACE" w14:textId="77777777" w:rsidR="00964364" w:rsidRPr="008868A1" w:rsidRDefault="00964364" w:rsidP="008868A1">
      <w:pPr>
        <w:pStyle w:val="FootnoteText"/>
        <w:ind w:left="284" w:hanging="284"/>
        <w:rPr>
          <w:lang w:val="ro-RO"/>
        </w:rPr>
      </w:pPr>
      <w:r w:rsidRPr="008868A1">
        <w:rPr>
          <w:rStyle w:val="FootnoteReference"/>
        </w:rPr>
        <w:footnoteRef/>
      </w:r>
      <w:r w:rsidRPr="008868A1">
        <w:rPr>
          <w:lang w:val="ro-RO"/>
        </w:rPr>
        <w:t xml:space="preserve"> </w:t>
      </w:r>
      <w:r w:rsidRPr="008868A1">
        <w:rPr>
          <w:lang w:val="ro-RO"/>
        </w:rPr>
        <w:tab/>
      </w:r>
      <w:hyperlink r:id="rId21" w:history="1">
        <w:r w:rsidRPr="008868A1">
          <w:rPr>
            <w:rStyle w:val="Hyperlink"/>
            <w:lang w:val="ro-RO"/>
          </w:rPr>
          <w:t>http://beta.edu.ro/sprijin-financiar-pentru-sus%C5%A3inerea-integr%C4%83rii-copiilor-cu-cerin%C5%A3e-educa%C5%A3ionale-speciale-integra%C5%A3i</w:t>
        </w:r>
      </w:hyperlink>
      <w:r w:rsidRPr="008868A1">
        <w:rPr>
          <w:lang w:val="ro-RO"/>
        </w:rPr>
        <w:t>.</w:t>
      </w:r>
    </w:p>
  </w:footnote>
  <w:footnote w:id="31">
    <w:p w14:paraId="36F3EDAC" w14:textId="77777777" w:rsidR="00964364" w:rsidRPr="008868A1" w:rsidRDefault="00964364" w:rsidP="008868A1">
      <w:pPr>
        <w:pStyle w:val="FootnoteText"/>
        <w:ind w:left="284" w:hanging="284"/>
        <w:rPr>
          <w:lang w:val="en-US"/>
        </w:rPr>
      </w:pPr>
      <w:r w:rsidRPr="008868A1">
        <w:rPr>
          <w:rStyle w:val="FootnoteReference"/>
        </w:rPr>
        <w:footnoteRef/>
      </w:r>
      <w:r w:rsidRPr="008868A1">
        <w:t xml:space="preserve"> </w:t>
      </w:r>
      <w:r w:rsidRPr="008868A1">
        <w:tab/>
      </w:r>
      <w:r w:rsidRPr="008868A1">
        <w:rPr>
          <w:lang w:val="en-US"/>
        </w:rPr>
        <w:t xml:space="preserve">As of March 2016. </w:t>
      </w:r>
    </w:p>
  </w:footnote>
  <w:footnote w:id="32">
    <w:p w14:paraId="46F1BB59" w14:textId="77777777" w:rsidR="00964364" w:rsidRPr="008868A1" w:rsidRDefault="00964364" w:rsidP="008868A1">
      <w:pPr>
        <w:pStyle w:val="FootnoteText"/>
        <w:ind w:left="284" w:hanging="284"/>
        <w:rPr>
          <w:lang w:val="en-US"/>
        </w:rPr>
      </w:pPr>
      <w:r w:rsidRPr="008868A1">
        <w:rPr>
          <w:rStyle w:val="FootnoteReference"/>
        </w:rPr>
        <w:footnoteRef/>
      </w:r>
      <w:r w:rsidRPr="008868A1">
        <w:t xml:space="preserve"> </w:t>
      </w:r>
      <w:r w:rsidRPr="008868A1">
        <w:tab/>
      </w:r>
      <w:hyperlink r:id="rId22" w:history="1">
        <w:r w:rsidRPr="008868A1">
          <w:rPr>
            <w:rStyle w:val="Hyperlink"/>
          </w:rPr>
          <w:t>http://www.cedcd.ro/100-milioane-euroan-costul-izolarii-copiilor-cu-dizabilitati/</w:t>
        </w:r>
      </w:hyperlink>
      <w:r w:rsidRPr="008868A1">
        <w:t xml:space="preserve"> The full version of the study is not available on-line. For more information, please check the campaign on the national television using information from the quoted reference: </w:t>
      </w:r>
      <w:hyperlink r:id="rId23" w:history="1">
        <w:r w:rsidRPr="008868A1">
          <w:rPr>
            <w:rStyle w:val="Hyperlink"/>
          </w:rPr>
          <w:t>http://stiri.tvr.ro/izolatiprintrenoi.html</w:t>
        </w:r>
      </w:hyperlink>
      <w:r w:rsidRPr="008868A1">
        <w:rPr>
          <w:rStyle w:val="Hyperlink"/>
          <w:u w:val="none"/>
        </w:rPr>
        <w:t>.</w:t>
      </w:r>
    </w:p>
  </w:footnote>
  <w:footnote w:id="33">
    <w:p w14:paraId="42AD1355" w14:textId="64F3E6FC" w:rsidR="00964364" w:rsidRPr="008868A1" w:rsidRDefault="00964364" w:rsidP="008868A1">
      <w:pPr>
        <w:pStyle w:val="FootnoteText"/>
        <w:ind w:left="284" w:hanging="284"/>
      </w:pPr>
      <w:r w:rsidRPr="008868A1">
        <w:rPr>
          <w:rStyle w:val="FootnoteReference"/>
        </w:rPr>
        <w:footnoteRef/>
      </w:r>
      <w:r w:rsidRPr="008868A1">
        <w:t xml:space="preserve"> </w:t>
      </w:r>
      <w:r>
        <w:tab/>
      </w:r>
      <w:r w:rsidRPr="008868A1">
        <w:t xml:space="preserve">Using corresponding EU-SILC 2014 data extracted from the Eurostat disability database (hlth_dpe050) </w:t>
      </w:r>
      <w:hyperlink r:id="rId24" w:history="1">
        <w:r w:rsidRPr="008868A1">
          <w:rPr>
            <w:rStyle w:val="Hyperlink"/>
          </w:rPr>
          <w:t>http://ec.europa.eu/eurostat/web/health/disability/data/database</w:t>
        </w:r>
      </w:hyperlink>
      <w:r>
        <w:rPr>
          <w:rStyle w:val="Hyperlink"/>
          <w:color w:val="auto"/>
          <w:u w:val="none"/>
        </w:rPr>
        <w:t>.</w:t>
      </w:r>
      <w:r w:rsidRPr="008868A1">
        <w:t xml:space="preserve"> </w:t>
      </w:r>
    </w:p>
  </w:footnote>
  <w:footnote w:id="34">
    <w:p w14:paraId="04CB8118" w14:textId="77777777" w:rsidR="00964364" w:rsidRPr="008868A1" w:rsidRDefault="00964364" w:rsidP="008868A1">
      <w:pPr>
        <w:pStyle w:val="FootnoteText"/>
        <w:ind w:left="284" w:hanging="284"/>
        <w:rPr>
          <w:lang w:val="ro-RO"/>
        </w:rPr>
      </w:pPr>
      <w:r w:rsidRPr="008868A1">
        <w:rPr>
          <w:rStyle w:val="FootnoteReference"/>
        </w:rPr>
        <w:footnoteRef/>
      </w:r>
      <w:r w:rsidRPr="008868A1">
        <w:t xml:space="preserve"> </w:t>
      </w:r>
      <w:r w:rsidRPr="008868A1">
        <w:tab/>
      </w:r>
      <w:hyperlink r:id="rId25" w:history="1">
        <w:r w:rsidRPr="008868A1">
          <w:rPr>
            <w:rStyle w:val="Hyperlink"/>
          </w:rPr>
          <w:t>http://www.mmuncii.ro/j33/images/Documente/Transparenta/Dezbateri_publice/2015-04-17_Anexa1_ProiectHG_SIS.pdf</w:t>
        </w:r>
      </w:hyperlink>
      <w:r w:rsidRPr="008868A1">
        <w:t>.</w:t>
      </w:r>
    </w:p>
  </w:footnote>
  <w:footnote w:id="35">
    <w:p w14:paraId="0E2427B3" w14:textId="77777777" w:rsidR="00964364" w:rsidRPr="008868A1" w:rsidRDefault="00964364" w:rsidP="008868A1">
      <w:pPr>
        <w:pStyle w:val="FootnoteText"/>
        <w:ind w:left="284" w:hanging="284"/>
        <w:rPr>
          <w:lang w:val="ro-RO"/>
        </w:rPr>
      </w:pPr>
      <w:r w:rsidRPr="008868A1">
        <w:rPr>
          <w:rStyle w:val="FootnoteReference"/>
        </w:rPr>
        <w:footnoteRef/>
      </w:r>
      <w:r w:rsidRPr="00964364">
        <w:rPr>
          <w:lang w:val="de-DE"/>
        </w:rPr>
        <w:t xml:space="preserve"> </w:t>
      </w:r>
      <w:r w:rsidRPr="00964364">
        <w:rPr>
          <w:lang w:val="de-DE"/>
        </w:rPr>
        <w:tab/>
      </w:r>
      <w:r w:rsidRPr="008868A1">
        <w:rPr>
          <w:lang w:val="ro-RO"/>
        </w:rPr>
        <w:t xml:space="preserve">ASCHF (2010). </w:t>
      </w:r>
    </w:p>
  </w:footnote>
  <w:footnote w:id="36">
    <w:p w14:paraId="1C13B76D" w14:textId="3E721EE7" w:rsidR="00964364" w:rsidRPr="00A11A79" w:rsidRDefault="00964364" w:rsidP="008868A1">
      <w:pPr>
        <w:pStyle w:val="FootnoteText"/>
        <w:ind w:left="284" w:hanging="284"/>
        <w:rPr>
          <w:lang w:val="ro-RO"/>
        </w:rPr>
      </w:pPr>
      <w:r w:rsidRPr="008868A1">
        <w:rPr>
          <w:rStyle w:val="FootnoteReference"/>
        </w:rPr>
        <w:footnoteRef/>
      </w:r>
      <w:r w:rsidRPr="00A11A79">
        <w:rPr>
          <w:lang w:val="ro-RO"/>
        </w:rPr>
        <w:t xml:space="preserve"> </w:t>
      </w:r>
      <w:r w:rsidRPr="00A11A79">
        <w:rPr>
          <w:lang w:val="ro-RO"/>
        </w:rPr>
        <w:tab/>
      </w:r>
      <w:hyperlink r:id="rId26" w:history="1">
        <w:r w:rsidRPr="00A11A79">
          <w:rPr>
            <w:rStyle w:val="Hyperlink"/>
            <w:lang w:val="ro-RO"/>
          </w:rPr>
          <w:t>https://ec.europa.eu/info/sites/info/files/2017-european-semester-country-specific-recommendations-commission-recommendations_-_romania.pdf</w:t>
        </w:r>
      </w:hyperlink>
      <w:r w:rsidRPr="00A11A79">
        <w:rPr>
          <w:lang w:val="ro-RO"/>
        </w:rPr>
        <w:t>.</w:t>
      </w:r>
    </w:p>
  </w:footnote>
  <w:footnote w:id="37">
    <w:p w14:paraId="3B708952" w14:textId="77777777" w:rsidR="00964364" w:rsidRPr="008868A1" w:rsidRDefault="00964364" w:rsidP="008868A1">
      <w:pPr>
        <w:pStyle w:val="FootnoteText"/>
        <w:tabs>
          <w:tab w:val="left" w:pos="284"/>
        </w:tabs>
        <w:ind w:left="284" w:hanging="284"/>
        <w:rPr>
          <w:lang w:val="ro-RO"/>
        </w:rPr>
      </w:pPr>
      <w:r w:rsidRPr="008868A1">
        <w:rPr>
          <w:rStyle w:val="FootnoteReference"/>
        </w:rPr>
        <w:footnoteRef/>
      </w:r>
      <w:r w:rsidRPr="008868A1">
        <w:t xml:space="preserve"> </w:t>
      </w:r>
      <w:r w:rsidRPr="008868A1">
        <w:tab/>
      </w:r>
      <w:r w:rsidRPr="008868A1">
        <w:rPr>
          <w:lang w:val="ro-RO"/>
        </w:rPr>
        <w:t>Article 78 (2) from Law no. 448/2006.</w:t>
      </w:r>
    </w:p>
  </w:footnote>
  <w:footnote w:id="38">
    <w:p w14:paraId="6750D585" w14:textId="77777777" w:rsidR="00964364" w:rsidRPr="008868A1" w:rsidRDefault="00964364" w:rsidP="008868A1">
      <w:pPr>
        <w:pStyle w:val="FootnoteText"/>
        <w:tabs>
          <w:tab w:val="left" w:pos="284"/>
        </w:tabs>
        <w:ind w:left="284" w:hanging="284"/>
      </w:pPr>
      <w:r w:rsidRPr="008868A1">
        <w:rPr>
          <w:rStyle w:val="FootnoteReference"/>
        </w:rPr>
        <w:footnoteRef/>
      </w:r>
      <w:r w:rsidRPr="008868A1">
        <w:t xml:space="preserve"> </w:t>
      </w:r>
      <w:r w:rsidRPr="008868A1">
        <w:tab/>
        <w:t xml:space="preserve">Numerous surveys carried out mostly by NGOs: </w:t>
      </w:r>
      <w:hyperlink r:id="rId27" w:history="1">
        <w:r w:rsidRPr="008868A1">
          <w:rPr>
            <w:rStyle w:val="Hyperlink"/>
          </w:rPr>
          <w:t>http://www.motivation.ro/uploads/studii%20SAR/Diagnostic%20exclus%20de%20pe%20piata%20muncii.pdf</w:t>
        </w:r>
      </w:hyperlink>
      <w:r w:rsidRPr="008868A1">
        <w:t>.</w:t>
      </w:r>
    </w:p>
  </w:footnote>
  <w:footnote w:id="39">
    <w:p w14:paraId="231C3B24" w14:textId="77777777" w:rsidR="00964364" w:rsidRPr="008868A1" w:rsidRDefault="00964364" w:rsidP="008868A1">
      <w:pPr>
        <w:pStyle w:val="FootnoteText"/>
        <w:tabs>
          <w:tab w:val="left" w:pos="284"/>
        </w:tabs>
        <w:ind w:left="284" w:hanging="284"/>
        <w:rPr>
          <w:lang w:val="en-US"/>
        </w:rPr>
      </w:pPr>
      <w:r w:rsidRPr="008868A1">
        <w:rPr>
          <w:rStyle w:val="FootnoteReference"/>
        </w:rPr>
        <w:footnoteRef/>
      </w:r>
      <w:r w:rsidRPr="008868A1">
        <w:t xml:space="preserve"> </w:t>
      </w:r>
      <w:r w:rsidRPr="008868A1">
        <w:tab/>
      </w:r>
      <w:hyperlink r:id="rId28" w:history="1">
        <w:r w:rsidRPr="008868A1">
          <w:rPr>
            <w:rStyle w:val="Hyperlink"/>
          </w:rPr>
          <w:t>http://ec.europa.eu/europe2020/pdf/csr2016/nrp2016_romania_en.pdf</w:t>
        </w:r>
      </w:hyperlink>
      <w:r w:rsidRPr="008868A1">
        <w:t>.</w:t>
      </w:r>
    </w:p>
  </w:footnote>
  <w:footnote w:id="40">
    <w:p w14:paraId="0D15962B" w14:textId="77777777" w:rsidR="00964364" w:rsidRPr="008868A1" w:rsidRDefault="00964364" w:rsidP="008868A1">
      <w:pPr>
        <w:pStyle w:val="FootnoteText"/>
        <w:ind w:left="284" w:hanging="284"/>
        <w:rPr>
          <w:lang w:val="ro-RO"/>
        </w:rPr>
      </w:pPr>
      <w:r w:rsidRPr="008868A1">
        <w:rPr>
          <w:rStyle w:val="FootnoteReference"/>
        </w:rPr>
        <w:footnoteRef/>
      </w:r>
      <w:r w:rsidRPr="008868A1">
        <w:t xml:space="preserve"> </w:t>
      </w:r>
      <w:r w:rsidRPr="008868A1">
        <w:tab/>
      </w:r>
      <w:hyperlink r:id="rId29" w:history="1">
        <w:r w:rsidRPr="008868A1">
          <w:rPr>
            <w:rStyle w:val="Hyperlink"/>
          </w:rPr>
          <w:t>http://www.anofm.ro/files/Buletin%20informativ%20nr.%201%20-%20Ianuarie%202016.pdf</w:t>
        </w:r>
      </w:hyperlink>
      <w:r w:rsidRPr="008868A1">
        <w:t>.</w:t>
      </w:r>
    </w:p>
  </w:footnote>
  <w:footnote w:id="41">
    <w:p w14:paraId="102EAB0B" w14:textId="77777777" w:rsidR="00964364" w:rsidRPr="008868A1" w:rsidRDefault="00964364" w:rsidP="008868A1">
      <w:pPr>
        <w:pStyle w:val="FootnoteText"/>
        <w:ind w:left="284" w:hanging="284"/>
        <w:rPr>
          <w:lang w:val="ro-RO"/>
        </w:rPr>
      </w:pPr>
      <w:r w:rsidRPr="008868A1">
        <w:rPr>
          <w:rStyle w:val="FootnoteReference"/>
        </w:rPr>
        <w:footnoteRef/>
      </w:r>
      <w:r w:rsidRPr="008868A1">
        <w:rPr>
          <w:lang w:val="ro-RO"/>
        </w:rPr>
        <w:t xml:space="preserve"> </w:t>
      </w:r>
      <w:r w:rsidRPr="008868A1">
        <w:rPr>
          <w:lang w:val="ro-RO"/>
        </w:rPr>
        <w:tab/>
      </w:r>
      <w:hyperlink r:id="rId30" w:history="1">
        <w:r w:rsidRPr="008868A1">
          <w:rPr>
            <w:rStyle w:val="Hyperlink"/>
            <w:lang w:val="ro-RO"/>
          </w:rPr>
          <w:t>http://gov.ro/fisiere/stiri_fisiere/Pachet_integrat_pentru_combaterea_saraciei.pdf</w:t>
        </w:r>
      </w:hyperlink>
      <w:r w:rsidRPr="008868A1">
        <w:rPr>
          <w:lang w:val="ro-RO"/>
        </w:rPr>
        <w:t>.</w:t>
      </w:r>
    </w:p>
  </w:footnote>
  <w:footnote w:id="42">
    <w:p w14:paraId="69647A0B" w14:textId="77777777" w:rsidR="00964364" w:rsidRPr="008868A1" w:rsidRDefault="00964364" w:rsidP="008868A1">
      <w:pPr>
        <w:pStyle w:val="FootnoteText"/>
        <w:ind w:left="284" w:hanging="284"/>
        <w:rPr>
          <w:lang w:val="ro-RO"/>
        </w:rPr>
      </w:pPr>
      <w:r w:rsidRPr="008868A1">
        <w:rPr>
          <w:rStyle w:val="FootnoteReference"/>
        </w:rPr>
        <w:footnoteRef/>
      </w:r>
      <w:r w:rsidRPr="008868A1">
        <w:rPr>
          <w:lang w:val="ro-RO"/>
        </w:rPr>
        <w:t xml:space="preserve"> </w:t>
      </w:r>
      <w:r w:rsidRPr="008868A1">
        <w:rPr>
          <w:lang w:val="ro-RO"/>
        </w:rPr>
        <w:tab/>
      </w:r>
      <w:hyperlink r:id="rId31" w:history="1">
        <w:r w:rsidRPr="008868A1">
          <w:rPr>
            <w:rStyle w:val="Hyperlink"/>
            <w:lang w:val="ro-RO"/>
          </w:rPr>
          <w:t>http://www.mmuncii.ro/j33/images/buletin_statistic/dizabilitatian_2015.pdf</w:t>
        </w:r>
      </w:hyperlink>
      <w:r w:rsidRPr="008868A1">
        <w:rPr>
          <w:lang w:val="ro-RO"/>
        </w:rPr>
        <w:t>.</w:t>
      </w:r>
    </w:p>
  </w:footnote>
  <w:footnote w:id="43">
    <w:p w14:paraId="4EAAE8EA" w14:textId="77777777" w:rsidR="00964364" w:rsidRPr="008868A1" w:rsidRDefault="00964364" w:rsidP="008868A1">
      <w:pPr>
        <w:pStyle w:val="FootnoteText"/>
        <w:ind w:left="284" w:hanging="284"/>
        <w:rPr>
          <w:lang w:val="ro-RO"/>
        </w:rPr>
      </w:pPr>
      <w:r w:rsidRPr="008868A1">
        <w:rPr>
          <w:rStyle w:val="FootnoteReference"/>
        </w:rPr>
        <w:footnoteRef/>
      </w:r>
      <w:r w:rsidRPr="008868A1">
        <w:rPr>
          <w:lang w:val="ro-RO"/>
        </w:rPr>
        <w:t xml:space="preserve"> </w:t>
      </w:r>
      <w:r w:rsidRPr="008868A1">
        <w:rPr>
          <w:lang w:val="ro-RO"/>
        </w:rPr>
        <w:tab/>
      </w:r>
      <w:hyperlink r:id="rId32" w:history="1">
        <w:r w:rsidRPr="008868A1">
          <w:rPr>
            <w:rStyle w:val="Hyperlink"/>
            <w:lang w:val="ro-RO"/>
          </w:rPr>
          <w:t>http://www.agerpres.ro/economie/2016/05/10/metrorex-statiile-de-metrou-vor-fi-dotate-cu-benzi-speciale-pentru-persoanele-cu-deficiente-de-vedere-16-53-10</w:t>
        </w:r>
      </w:hyperlink>
      <w:r w:rsidRPr="008868A1">
        <w:rPr>
          <w:lang w:val="ro-RO"/>
        </w:rPr>
        <w:t>.</w:t>
      </w:r>
    </w:p>
  </w:footnote>
  <w:footnote w:id="44">
    <w:p w14:paraId="203FB239" w14:textId="77777777" w:rsidR="00964364" w:rsidRPr="008868A1" w:rsidRDefault="00964364" w:rsidP="008868A1">
      <w:pPr>
        <w:pStyle w:val="FootnoteText"/>
        <w:ind w:left="284" w:hanging="284"/>
        <w:rPr>
          <w:lang w:val="ro-RO"/>
        </w:rPr>
      </w:pPr>
      <w:r w:rsidRPr="008868A1">
        <w:rPr>
          <w:rStyle w:val="FootnoteReference"/>
        </w:rPr>
        <w:footnoteRef/>
      </w:r>
      <w:r w:rsidRPr="008868A1">
        <w:rPr>
          <w:lang w:val="ro-RO"/>
        </w:rPr>
        <w:t xml:space="preserve"> </w:t>
      </w:r>
      <w:r w:rsidRPr="008868A1">
        <w:rPr>
          <w:lang w:val="ro-RO"/>
        </w:rPr>
        <w:tab/>
      </w:r>
      <w:hyperlink r:id="rId33" w:history="1">
        <w:r w:rsidRPr="008868A1">
          <w:rPr>
            <w:rStyle w:val="Hyperlink"/>
            <w:lang w:val="ro-RO"/>
          </w:rPr>
          <w:t>http://www.mmuncii.ro/j33/index.php/ro/2014-domenii/protectie-sociala/ppd</w:t>
        </w:r>
      </w:hyperlink>
      <w:r w:rsidRPr="008868A1">
        <w:rPr>
          <w:lang w:val="ro-RO"/>
        </w:rPr>
        <w:t>.</w:t>
      </w:r>
    </w:p>
  </w:footnote>
  <w:footnote w:id="45">
    <w:p w14:paraId="46A5033B" w14:textId="5C711D2F" w:rsidR="00964364" w:rsidRPr="008868A1" w:rsidRDefault="00964364" w:rsidP="008868A1">
      <w:pPr>
        <w:pStyle w:val="FootnoteText"/>
        <w:ind w:left="284" w:hanging="284"/>
        <w:rPr>
          <w:lang w:val="ro-RO"/>
        </w:rPr>
      </w:pPr>
      <w:r w:rsidRPr="008868A1">
        <w:rPr>
          <w:rStyle w:val="FootnoteReference"/>
        </w:rPr>
        <w:footnoteRef/>
      </w:r>
      <w:r w:rsidRPr="008868A1">
        <w:t xml:space="preserve"> </w:t>
      </w:r>
      <w:r w:rsidRPr="008868A1">
        <w:tab/>
        <w:t>Ministry of European Funds, last update:</w:t>
      </w:r>
      <w:r w:rsidRPr="008868A1">
        <w:rPr>
          <w:rStyle w:val="Hyperlink"/>
          <w:u w:val="none"/>
        </w:rPr>
        <w:t>.</w:t>
      </w:r>
      <w:r w:rsidRPr="008868A1">
        <w:rPr>
          <w:rStyle w:val="Hyperlink"/>
          <w:color w:val="auto"/>
          <w:u w:val="none"/>
        </w:rPr>
        <w:t>31 July 2016</w:t>
      </w:r>
      <w:r w:rsidRPr="008868A1">
        <w:rPr>
          <w:rStyle w:val="Hyperlink"/>
          <w:u w:val="none"/>
        </w:rPr>
        <w:t xml:space="preserve">: </w:t>
      </w:r>
      <w:hyperlink r:id="rId34" w:history="1">
        <w:r w:rsidRPr="008868A1">
          <w:rPr>
            <w:rStyle w:val="Hyperlink"/>
          </w:rPr>
          <w:t>http://www.fonduri-ue.ro/images/files/implementare-absorbtie/Anexa_1-Stadiul_absorbtiei_pentru_Programele_Operationale_la_31.07.2016.pdf</w:t>
        </w:r>
      </w:hyperlink>
      <w:r>
        <w:rPr>
          <w:rStyle w:val="Hyperlink"/>
          <w:color w:val="auto"/>
          <w:u w:val="none"/>
        </w:rPr>
        <w:t>.</w:t>
      </w:r>
      <w:r w:rsidRPr="008868A1">
        <w:rPr>
          <w:rStyle w:val="Hyperlink"/>
          <w:u w:val="none"/>
        </w:rPr>
        <w:t xml:space="preserve"> </w:t>
      </w:r>
    </w:p>
  </w:footnote>
  <w:footnote w:id="46">
    <w:p w14:paraId="4379D60F" w14:textId="77777777" w:rsidR="00964364" w:rsidRPr="008868A1" w:rsidRDefault="00964364" w:rsidP="008868A1">
      <w:pPr>
        <w:pStyle w:val="FootnoteText"/>
        <w:ind w:left="284" w:hanging="284"/>
        <w:rPr>
          <w:lang w:val="ro-RO"/>
        </w:rPr>
      </w:pPr>
      <w:r w:rsidRPr="008868A1">
        <w:rPr>
          <w:rStyle w:val="FootnoteReference"/>
        </w:rPr>
        <w:footnoteRef/>
      </w:r>
      <w:r w:rsidRPr="008868A1">
        <w:t xml:space="preserve"> </w:t>
      </w:r>
      <w:r w:rsidRPr="008868A1">
        <w:tab/>
      </w:r>
      <w:r w:rsidRPr="008868A1">
        <w:rPr>
          <w:lang w:val="ro-RO"/>
        </w:rPr>
        <w:t>Last update: December, 2014.</w:t>
      </w:r>
    </w:p>
  </w:footnote>
  <w:footnote w:id="47">
    <w:p w14:paraId="3415DF4E" w14:textId="77777777" w:rsidR="00964364" w:rsidRPr="008868A1" w:rsidRDefault="00964364" w:rsidP="008868A1">
      <w:pPr>
        <w:pStyle w:val="FootnoteText"/>
        <w:ind w:left="284" w:hanging="284"/>
        <w:rPr>
          <w:lang w:val="ro-RO"/>
        </w:rPr>
      </w:pPr>
      <w:r w:rsidRPr="008868A1">
        <w:rPr>
          <w:rStyle w:val="FootnoteReference"/>
        </w:rPr>
        <w:footnoteRef/>
      </w:r>
      <w:r w:rsidRPr="008868A1">
        <w:t xml:space="preserve"> </w:t>
      </w:r>
      <w:r w:rsidRPr="008868A1">
        <w:tab/>
      </w:r>
      <w:r w:rsidRPr="008868A1">
        <w:rPr>
          <w:lang w:val="ro-RO"/>
        </w:rPr>
        <w:t>Under Major Intervention Area 3.2, Rehabilitation/modernization/development and equipment of social infrastructure.</w:t>
      </w:r>
    </w:p>
  </w:footnote>
  <w:footnote w:id="48">
    <w:p w14:paraId="462495B7" w14:textId="77777777" w:rsidR="00964364" w:rsidRPr="008868A1" w:rsidRDefault="00964364" w:rsidP="008868A1">
      <w:pPr>
        <w:pStyle w:val="FootnoteText"/>
        <w:ind w:left="284" w:hanging="284"/>
        <w:rPr>
          <w:lang w:val="ro-RO"/>
        </w:rPr>
      </w:pPr>
      <w:r w:rsidRPr="008868A1">
        <w:rPr>
          <w:rStyle w:val="FootnoteReference"/>
        </w:rPr>
        <w:footnoteRef/>
      </w:r>
      <w:r w:rsidRPr="008868A1">
        <w:t xml:space="preserve"> </w:t>
      </w:r>
      <w:r w:rsidRPr="008868A1">
        <w:tab/>
      </w:r>
      <w:r w:rsidRPr="008868A1">
        <w:rPr>
          <w:lang w:val="ro-RO"/>
        </w:rPr>
        <w:t>58 projects for rehabilitation/modernization and expansion of large institutions – currently, there are 205 institutions where more than 25 people live together, reaching up to 388 people in the largest institution.</w:t>
      </w:r>
    </w:p>
  </w:footnote>
  <w:footnote w:id="49">
    <w:p w14:paraId="04907A48" w14:textId="77777777" w:rsidR="00964364" w:rsidRPr="008868A1" w:rsidRDefault="00964364" w:rsidP="008868A1">
      <w:pPr>
        <w:pStyle w:val="FootnoteText"/>
        <w:ind w:left="284" w:hanging="284"/>
        <w:rPr>
          <w:lang w:val="ro-RO"/>
        </w:rPr>
      </w:pPr>
      <w:r w:rsidRPr="008868A1">
        <w:rPr>
          <w:rStyle w:val="FootnoteReference"/>
        </w:rPr>
        <w:footnoteRef/>
      </w:r>
      <w:r w:rsidRPr="008868A1">
        <w:rPr>
          <w:lang w:val="ro-RO"/>
        </w:rPr>
        <w:t xml:space="preserve"> </w:t>
      </w:r>
      <w:hyperlink r:id="rId35" w:history="1">
        <w:r w:rsidRPr="008868A1">
          <w:rPr>
            <w:rStyle w:val="Hyperlink"/>
            <w:lang w:val="ro-RO"/>
          </w:rPr>
          <w:t>http://ec.europa.eu/regional_policy/sources/docgener/informat/2014/eac_guidance_esif_part2_en.pdf</w:t>
        </w:r>
      </w:hyperlink>
      <w:r w:rsidRPr="008868A1">
        <w:rPr>
          <w:lang w:val="ro-RO"/>
        </w:rPr>
        <w:t>.</w:t>
      </w:r>
    </w:p>
  </w:footnote>
  <w:footnote w:id="50">
    <w:p w14:paraId="35AFC5BE" w14:textId="77777777" w:rsidR="00964364" w:rsidRPr="008868A1" w:rsidRDefault="00964364" w:rsidP="008868A1">
      <w:pPr>
        <w:pStyle w:val="FootnoteText"/>
        <w:ind w:left="284" w:hanging="284"/>
        <w:rPr>
          <w:lang w:val="ro-RO"/>
        </w:rPr>
      </w:pPr>
      <w:r w:rsidRPr="008868A1">
        <w:rPr>
          <w:rStyle w:val="FootnoteReference"/>
        </w:rPr>
        <w:footnoteRef/>
      </w:r>
      <w:r w:rsidRPr="008868A1">
        <w:rPr>
          <w:lang w:val="ro-RO"/>
        </w:rPr>
        <w:t xml:space="preserve"> </w:t>
      </w:r>
      <w:r w:rsidRPr="008868A1">
        <w:rPr>
          <w:lang w:val="ro-RO"/>
        </w:rPr>
        <w:tab/>
      </w:r>
      <w:hyperlink r:id="rId36" w:history="1">
        <w:r w:rsidRPr="008868A1">
          <w:rPr>
            <w:rStyle w:val="Hyperlink"/>
            <w:lang w:val="ro-RO"/>
          </w:rPr>
          <w:t>http://www.fonduri-ue.ro/res/filepicker_users/cd25a597fd-62/2014-2020/acord-parteneriat/Partnership_Agreement_2014RO16M8PA001_1_2_ro.pdf</w:t>
        </w:r>
      </w:hyperlink>
      <w:r w:rsidRPr="008868A1">
        <w:rPr>
          <w:lang w:val="ro-RO"/>
        </w:rPr>
        <w:t>.</w:t>
      </w:r>
    </w:p>
  </w:footnote>
  <w:footnote w:id="51">
    <w:p w14:paraId="3341DC98" w14:textId="77777777" w:rsidR="00964364" w:rsidRPr="008868A1" w:rsidRDefault="00964364" w:rsidP="008868A1">
      <w:pPr>
        <w:pStyle w:val="FootnoteText"/>
        <w:ind w:left="284" w:hanging="284"/>
        <w:rPr>
          <w:lang w:val="ro-RO"/>
        </w:rPr>
      </w:pPr>
      <w:r w:rsidRPr="008868A1">
        <w:rPr>
          <w:rStyle w:val="FootnoteReference"/>
        </w:rPr>
        <w:footnoteRef/>
      </w:r>
      <w:r w:rsidRPr="008868A1">
        <w:rPr>
          <w:lang w:val="ro-RO"/>
        </w:rPr>
        <w:t xml:space="preserve"> </w:t>
      </w:r>
      <w:r w:rsidRPr="008868A1">
        <w:rPr>
          <w:lang w:val="ro-RO"/>
        </w:rPr>
        <w:tab/>
      </w:r>
      <w:hyperlink r:id="rId37" w:history="1">
        <w:r w:rsidRPr="008868A1">
          <w:rPr>
            <w:rStyle w:val="Hyperlink"/>
            <w:lang w:val="ro-RO"/>
          </w:rPr>
          <w:t>http://www.fonduri-ue.ro/por-2014</w:t>
        </w:r>
      </w:hyperlink>
      <w:r w:rsidRPr="008868A1">
        <w:rPr>
          <w:lang w:val="ro-RO"/>
        </w:rPr>
        <w:t>.</w:t>
      </w:r>
    </w:p>
  </w:footnote>
  <w:footnote w:id="52">
    <w:p w14:paraId="00B89381" w14:textId="77777777" w:rsidR="00964364" w:rsidRPr="008868A1" w:rsidRDefault="00964364" w:rsidP="008868A1">
      <w:pPr>
        <w:pStyle w:val="FootnoteText"/>
        <w:ind w:left="284" w:hanging="284"/>
        <w:rPr>
          <w:lang w:val="ro-RO"/>
        </w:rPr>
      </w:pPr>
      <w:r w:rsidRPr="008868A1">
        <w:rPr>
          <w:rStyle w:val="FootnoteReference"/>
        </w:rPr>
        <w:footnoteRef/>
      </w:r>
      <w:r w:rsidRPr="008868A1">
        <w:rPr>
          <w:lang w:val="ro-RO"/>
        </w:rPr>
        <w:t xml:space="preserve"> </w:t>
      </w:r>
      <w:r w:rsidRPr="008868A1">
        <w:rPr>
          <w:lang w:val="ro-RO"/>
        </w:rPr>
        <w:tab/>
      </w:r>
      <w:hyperlink r:id="rId38" w:history="1">
        <w:r w:rsidRPr="008868A1">
          <w:rPr>
            <w:rStyle w:val="Hyperlink"/>
            <w:lang w:val="ro-RO"/>
          </w:rPr>
          <w:t>http://www.fonduri-ue.ro/pocu-2014</w:t>
        </w:r>
      </w:hyperlink>
      <w:r w:rsidRPr="008868A1">
        <w:rPr>
          <w:rStyle w:val="Hyperlink"/>
          <w:lang w:val="ro-RO"/>
        </w:rPr>
        <w:t>.</w:t>
      </w:r>
    </w:p>
  </w:footnote>
  <w:footnote w:id="53">
    <w:p w14:paraId="43FF7F00" w14:textId="77777777" w:rsidR="00964364" w:rsidRPr="008868A1" w:rsidRDefault="00964364" w:rsidP="008868A1">
      <w:pPr>
        <w:pStyle w:val="FootnoteText"/>
        <w:ind w:left="284" w:hanging="284"/>
        <w:rPr>
          <w:lang w:val="en-US"/>
        </w:rPr>
      </w:pPr>
      <w:r w:rsidRPr="008868A1">
        <w:rPr>
          <w:rStyle w:val="FootnoteReference"/>
        </w:rPr>
        <w:footnoteRef/>
      </w:r>
      <w:r w:rsidRPr="008868A1">
        <w:t xml:space="preserve"> </w:t>
      </w:r>
      <w:r w:rsidRPr="008868A1">
        <w:tab/>
      </w:r>
      <w:hyperlink r:id="rId39" w:history="1">
        <w:r w:rsidRPr="008868A1">
          <w:rPr>
            <w:rStyle w:val="Hyperlink"/>
          </w:rPr>
          <w:t>http://www.fonduri-ue.ro/apeluri/details/2/31/apeluri-4-1-dezvoltare-local%C4%83-integrat%C4%83-dli-360-grade-%C3%AEn-comunit%C4%83%C8%9Bile-marginalizate-%C3%AEn-care-exist%C4%83-popula%C8%9Bie-apar%C8%9Bin%C3%A2nd-minorit%C4%83%C8%9Bii-rome-regiuni-mai-pu%C8%9Bin-dezvoltate?start=20</w:t>
        </w:r>
      </w:hyperlink>
      <w:r w:rsidRPr="008868A1">
        <w:t xml:space="preserve"> (for less developed regions) and </w:t>
      </w:r>
      <w:hyperlink r:id="rId40" w:history="1">
        <w:r w:rsidRPr="008868A1">
          <w:rPr>
            <w:rStyle w:val="Hyperlink"/>
          </w:rPr>
          <w:t>http://www.fonduri-ue.ro/apeluri/details/2/27/apeluri-4-2-dezvoltare-local%C4%83-integrat%C4%83-dli-360-%C3%AEn-comunit%C4%83%C8%9Bile-marginalizate?start=20</w:t>
        </w:r>
      </w:hyperlink>
      <w:r w:rsidRPr="008868A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FCD7" w14:textId="77777777" w:rsidR="00964364" w:rsidRDefault="00964364" w:rsidP="00AF323E"/>
  <w:p w14:paraId="6F2070BF" w14:textId="6A813173" w:rsidR="00964364" w:rsidRDefault="00964364" w:rsidP="00AF323E">
    <w:r>
      <w:rPr>
        <w:noProof/>
        <w:lang w:eastAsia="en-GB"/>
      </w:rPr>
      <mc:AlternateContent>
        <mc:Choice Requires="wps">
          <w:drawing>
            <wp:anchor distT="0" distB="0" distL="114300" distR="114300" simplePos="0" relativeHeight="251659264" behindDoc="0" locked="0" layoutInCell="1" allowOverlap="1" wp14:anchorId="5BB985C6" wp14:editId="774DD2CB">
              <wp:simplePos x="0" y="0"/>
              <wp:positionH relativeFrom="column">
                <wp:posOffset>0</wp:posOffset>
              </wp:positionH>
              <wp:positionV relativeFrom="paragraph">
                <wp:posOffset>-635</wp:posOffset>
              </wp:positionV>
              <wp:extent cx="5723792" cy="3905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792" cy="3905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E06C9F" w14:textId="77777777" w:rsidR="00964364" w:rsidRDefault="00964364" w:rsidP="00964364">
                          <w:pPr>
                            <w:jc w:val="center"/>
                            <w:rPr>
                              <w:sz w:val="16"/>
                              <w:lang w:eastAsia="fr-FR"/>
                            </w:rPr>
                          </w:pPr>
                          <w:r>
                            <w:rPr>
                              <w:sz w:val="16"/>
                              <w:lang w:eastAsia="fr-FR"/>
                            </w:rPr>
                            <w:t>European Semester 2017/2018</w:t>
                          </w:r>
                          <w:r w:rsidRPr="00F46384">
                            <w:rPr>
                              <w:sz w:val="16"/>
                              <w:lang w:eastAsia="fr-FR"/>
                            </w:rPr>
                            <w:t xml:space="preserve"> country fiche on disability</w:t>
                          </w:r>
                        </w:p>
                        <w:p w14:paraId="27B409D2" w14:textId="77777777" w:rsidR="00964364" w:rsidRPr="00ED6A68" w:rsidRDefault="00905165" w:rsidP="00964364">
                          <w:pPr>
                            <w:jc w:val="center"/>
                            <w:rPr>
                              <w:sz w:val="16"/>
                              <w:szCs w:val="16"/>
                            </w:rPr>
                          </w:pPr>
                          <w:r>
                            <w:rPr>
                              <w:sz w:val="16"/>
                              <w:szCs w:val="16"/>
                            </w:rPr>
                            <w:pict w14:anchorId="6C1E77A2">
                              <v:rect id="_x0000_i1026" style="width:0;height:1.5pt" o:hralign="center" o:hrstd="t" o:hr="t" fillcolor="#a0a0a0"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985C6" id="_x0000_t202" coordsize="21600,21600" o:spt="202" path="m,l,21600r21600,l21600,xe">
              <v:stroke joinstyle="miter"/>
              <v:path gradientshapeok="t" o:connecttype="rect"/>
            </v:shapetype>
            <v:shape id="Text Box 21" o:spid="_x0000_s1026" type="#_x0000_t202" style="position:absolute;margin-left:0;margin-top:-.05pt;width:450.7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" filled="f" stroked="f">
              <v:textbox>
                <w:txbxContent>
                  <w:p w14:paraId="67E06C9F" w14:textId="77777777" w:rsidR="00964364" w:rsidRDefault="00964364" w:rsidP="00964364">
                    <w:pPr>
                      <w:jc w:val="center"/>
                      <w:rPr>
                        <w:sz w:val="16"/>
                        <w:lang w:eastAsia="fr-FR"/>
                      </w:rPr>
                    </w:pPr>
                    <w:r>
                      <w:rPr>
                        <w:sz w:val="16"/>
                        <w:lang w:eastAsia="fr-FR"/>
                      </w:rPr>
                      <w:t>European Semester 2017/2018</w:t>
                    </w:r>
                    <w:r w:rsidRPr="00F46384">
                      <w:rPr>
                        <w:sz w:val="16"/>
                        <w:lang w:eastAsia="fr-FR"/>
                      </w:rPr>
                      <w:t xml:space="preserve"> country fiche on disability</w:t>
                    </w:r>
                  </w:p>
                  <w:p w14:paraId="27B409D2" w14:textId="77777777" w:rsidR="00964364" w:rsidRPr="00ED6A68" w:rsidRDefault="00B64B3C" w:rsidP="00964364">
                    <w:pPr>
                      <w:jc w:val="center"/>
                      <w:rPr>
                        <w:sz w:val="16"/>
                        <w:szCs w:val="16"/>
                      </w:rPr>
                    </w:pPr>
                    <w:r>
                      <w:rPr>
                        <w:sz w:val="16"/>
                        <w:szCs w:val="16"/>
                      </w:rPr>
                      <w:pict w14:anchorId="6C1E77A2">
                        <v:rect id="_x0000_i1026" style="width:0;height:1.5pt" o:hralign="center" o:hrstd="t" o:hr="t" fillcolor="#a0a0a0" stroked="f"/>
                      </w:pic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765FB"/>
    <w:multiLevelType w:val="hybridMultilevel"/>
    <w:tmpl w:val="C02CC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9417AF"/>
    <w:multiLevelType w:val="hybridMultilevel"/>
    <w:tmpl w:val="51E8A664"/>
    <w:lvl w:ilvl="0" w:tplc="EC8C3FA0">
      <w:start w:val="58"/>
      <w:numFmt w:val="bullet"/>
      <w:lvlText w:val="-"/>
      <w:lvlJc w:val="left"/>
      <w:pPr>
        <w:ind w:left="720" w:hanging="360"/>
      </w:pPr>
      <w:rPr>
        <w:rFonts w:ascii="Calibri" w:eastAsia="Times New Roman" w:hAnsi="Calibri"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BBC31D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D9210DC"/>
    <w:multiLevelType w:val="hybridMultilevel"/>
    <w:tmpl w:val="D174D62C"/>
    <w:lvl w:ilvl="0" w:tplc="0AC2EEA0">
      <w:start w:val="1"/>
      <w:numFmt w:val="bullet"/>
      <w:lvlText w:val=""/>
      <w:lvlJc w:val="left"/>
      <w:pPr>
        <w:tabs>
          <w:tab w:val="num" w:pos="720"/>
        </w:tabs>
        <w:ind w:left="720" w:hanging="360"/>
      </w:pPr>
      <w:rPr>
        <w:rFonts w:ascii="Wingdings" w:hAnsi="Wingdings" w:hint="default"/>
      </w:rPr>
    </w:lvl>
    <w:lvl w:ilvl="1" w:tplc="04E41B56" w:tentative="1">
      <w:start w:val="1"/>
      <w:numFmt w:val="bullet"/>
      <w:lvlText w:val=""/>
      <w:lvlJc w:val="left"/>
      <w:pPr>
        <w:tabs>
          <w:tab w:val="num" w:pos="1440"/>
        </w:tabs>
        <w:ind w:left="1440" w:hanging="360"/>
      </w:pPr>
      <w:rPr>
        <w:rFonts w:ascii="Wingdings" w:hAnsi="Wingdings" w:hint="default"/>
      </w:rPr>
    </w:lvl>
    <w:lvl w:ilvl="2" w:tplc="FCF4D768" w:tentative="1">
      <w:start w:val="1"/>
      <w:numFmt w:val="bullet"/>
      <w:lvlText w:val=""/>
      <w:lvlJc w:val="left"/>
      <w:pPr>
        <w:tabs>
          <w:tab w:val="num" w:pos="2160"/>
        </w:tabs>
        <w:ind w:left="2160" w:hanging="360"/>
      </w:pPr>
      <w:rPr>
        <w:rFonts w:ascii="Wingdings" w:hAnsi="Wingdings" w:hint="default"/>
      </w:rPr>
    </w:lvl>
    <w:lvl w:ilvl="3" w:tplc="53A423AE" w:tentative="1">
      <w:start w:val="1"/>
      <w:numFmt w:val="bullet"/>
      <w:lvlText w:val=""/>
      <w:lvlJc w:val="left"/>
      <w:pPr>
        <w:tabs>
          <w:tab w:val="num" w:pos="2880"/>
        </w:tabs>
        <w:ind w:left="2880" w:hanging="360"/>
      </w:pPr>
      <w:rPr>
        <w:rFonts w:ascii="Wingdings" w:hAnsi="Wingdings" w:hint="default"/>
      </w:rPr>
    </w:lvl>
    <w:lvl w:ilvl="4" w:tplc="31085A06" w:tentative="1">
      <w:start w:val="1"/>
      <w:numFmt w:val="bullet"/>
      <w:lvlText w:val=""/>
      <w:lvlJc w:val="left"/>
      <w:pPr>
        <w:tabs>
          <w:tab w:val="num" w:pos="3600"/>
        </w:tabs>
        <w:ind w:left="3600" w:hanging="360"/>
      </w:pPr>
      <w:rPr>
        <w:rFonts w:ascii="Wingdings" w:hAnsi="Wingdings" w:hint="default"/>
      </w:rPr>
    </w:lvl>
    <w:lvl w:ilvl="5" w:tplc="EABA6EB4" w:tentative="1">
      <w:start w:val="1"/>
      <w:numFmt w:val="bullet"/>
      <w:lvlText w:val=""/>
      <w:lvlJc w:val="left"/>
      <w:pPr>
        <w:tabs>
          <w:tab w:val="num" w:pos="4320"/>
        </w:tabs>
        <w:ind w:left="4320" w:hanging="360"/>
      </w:pPr>
      <w:rPr>
        <w:rFonts w:ascii="Wingdings" w:hAnsi="Wingdings" w:hint="default"/>
      </w:rPr>
    </w:lvl>
    <w:lvl w:ilvl="6" w:tplc="6CEADCC0" w:tentative="1">
      <w:start w:val="1"/>
      <w:numFmt w:val="bullet"/>
      <w:lvlText w:val=""/>
      <w:lvlJc w:val="left"/>
      <w:pPr>
        <w:tabs>
          <w:tab w:val="num" w:pos="5040"/>
        </w:tabs>
        <w:ind w:left="5040" w:hanging="360"/>
      </w:pPr>
      <w:rPr>
        <w:rFonts w:ascii="Wingdings" w:hAnsi="Wingdings" w:hint="default"/>
      </w:rPr>
    </w:lvl>
    <w:lvl w:ilvl="7" w:tplc="71B6EE32" w:tentative="1">
      <w:start w:val="1"/>
      <w:numFmt w:val="bullet"/>
      <w:lvlText w:val=""/>
      <w:lvlJc w:val="left"/>
      <w:pPr>
        <w:tabs>
          <w:tab w:val="num" w:pos="5760"/>
        </w:tabs>
        <w:ind w:left="5760" w:hanging="360"/>
      </w:pPr>
      <w:rPr>
        <w:rFonts w:ascii="Wingdings" w:hAnsi="Wingdings" w:hint="default"/>
      </w:rPr>
    </w:lvl>
    <w:lvl w:ilvl="8" w:tplc="97D42F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11A50"/>
    <w:multiLevelType w:val="hybridMultilevel"/>
    <w:tmpl w:val="277A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276088"/>
    <w:multiLevelType w:val="hybridMultilevel"/>
    <w:tmpl w:val="60668FC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71756CC"/>
    <w:multiLevelType w:val="hybridMultilevel"/>
    <w:tmpl w:val="E32E16E8"/>
    <w:lvl w:ilvl="0" w:tplc="67C8D12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F2A3C"/>
    <w:multiLevelType w:val="hybridMultilevel"/>
    <w:tmpl w:val="ED0C8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812689"/>
    <w:multiLevelType w:val="hybridMultilevel"/>
    <w:tmpl w:val="F612A3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F3F3DD8"/>
    <w:multiLevelType w:val="hybridMultilevel"/>
    <w:tmpl w:val="6ECCF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1A034F"/>
    <w:multiLevelType w:val="hybridMultilevel"/>
    <w:tmpl w:val="48D81954"/>
    <w:lvl w:ilvl="0" w:tplc="2A86CBB4">
      <w:start w:val="1"/>
      <w:numFmt w:val="bullet"/>
      <w:lvlText w:val=""/>
      <w:lvlJc w:val="left"/>
      <w:pPr>
        <w:tabs>
          <w:tab w:val="num" w:pos="720"/>
        </w:tabs>
        <w:ind w:left="720" w:hanging="360"/>
      </w:pPr>
      <w:rPr>
        <w:rFonts w:ascii="Wingdings" w:hAnsi="Wingdings" w:hint="default"/>
      </w:rPr>
    </w:lvl>
    <w:lvl w:ilvl="1" w:tplc="38104D68" w:tentative="1">
      <w:start w:val="1"/>
      <w:numFmt w:val="bullet"/>
      <w:lvlText w:val=""/>
      <w:lvlJc w:val="left"/>
      <w:pPr>
        <w:tabs>
          <w:tab w:val="num" w:pos="1440"/>
        </w:tabs>
        <w:ind w:left="1440" w:hanging="360"/>
      </w:pPr>
      <w:rPr>
        <w:rFonts w:ascii="Wingdings" w:hAnsi="Wingdings" w:hint="default"/>
      </w:rPr>
    </w:lvl>
    <w:lvl w:ilvl="2" w:tplc="E3B2E16A" w:tentative="1">
      <w:start w:val="1"/>
      <w:numFmt w:val="bullet"/>
      <w:lvlText w:val=""/>
      <w:lvlJc w:val="left"/>
      <w:pPr>
        <w:tabs>
          <w:tab w:val="num" w:pos="2160"/>
        </w:tabs>
        <w:ind w:left="2160" w:hanging="360"/>
      </w:pPr>
      <w:rPr>
        <w:rFonts w:ascii="Wingdings" w:hAnsi="Wingdings" w:hint="default"/>
      </w:rPr>
    </w:lvl>
    <w:lvl w:ilvl="3" w:tplc="4798EC24" w:tentative="1">
      <w:start w:val="1"/>
      <w:numFmt w:val="bullet"/>
      <w:lvlText w:val=""/>
      <w:lvlJc w:val="left"/>
      <w:pPr>
        <w:tabs>
          <w:tab w:val="num" w:pos="2880"/>
        </w:tabs>
        <w:ind w:left="2880" w:hanging="360"/>
      </w:pPr>
      <w:rPr>
        <w:rFonts w:ascii="Wingdings" w:hAnsi="Wingdings" w:hint="default"/>
      </w:rPr>
    </w:lvl>
    <w:lvl w:ilvl="4" w:tplc="CCFA510A" w:tentative="1">
      <w:start w:val="1"/>
      <w:numFmt w:val="bullet"/>
      <w:lvlText w:val=""/>
      <w:lvlJc w:val="left"/>
      <w:pPr>
        <w:tabs>
          <w:tab w:val="num" w:pos="3600"/>
        </w:tabs>
        <w:ind w:left="3600" w:hanging="360"/>
      </w:pPr>
      <w:rPr>
        <w:rFonts w:ascii="Wingdings" w:hAnsi="Wingdings" w:hint="default"/>
      </w:rPr>
    </w:lvl>
    <w:lvl w:ilvl="5" w:tplc="788875CE" w:tentative="1">
      <w:start w:val="1"/>
      <w:numFmt w:val="bullet"/>
      <w:lvlText w:val=""/>
      <w:lvlJc w:val="left"/>
      <w:pPr>
        <w:tabs>
          <w:tab w:val="num" w:pos="4320"/>
        </w:tabs>
        <w:ind w:left="4320" w:hanging="360"/>
      </w:pPr>
      <w:rPr>
        <w:rFonts w:ascii="Wingdings" w:hAnsi="Wingdings" w:hint="default"/>
      </w:rPr>
    </w:lvl>
    <w:lvl w:ilvl="6" w:tplc="E4A2B77E" w:tentative="1">
      <w:start w:val="1"/>
      <w:numFmt w:val="bullet"/>
      <w:lvlText w:val=""/>
      <w:lvlJc w:val="left"/>
      <w:pPr>
        <w:tabs>
          <w:tab w:val="num" w:pos="5040"/>
        </w:tabs>
        <w:ind w:left="5040" w:hanging="360"/>
      </w:pPr>
      <w:rPr>
        <w:rFonts w:ascii="Wingdings" w:hAnsi="Wingdings" w:hint="default"/>
      </w:rPr>
    </w:lvl>
    <w:lvl w:ilvl="7" w:tplc="DE1426C4" w:tentative="1">
      <w:start w:val="1"/>
      <w:numFmt w:val="bullet"/>
      <w:lvlText w:val=""/>
      <w:lvlJc w:val="left"/>
      <w:pPr>
        <w:tabs>
          <w:tab w:val="num" w:pos="5760"/>
        </w:tabs>
        <w:ind w:left="5760" w:hanging="360"/>
      </w:pPr>
      <w:rPr>
        <w:rFonts w:ascii="Wingdings" w:hAnsi="Wingdings" w:hint="default"/>
      </w:rPr>
    </w:lvl>
    <w:lvl w:ilvl="8" w:tplc="9BC07BB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5AAF"/>
    <w:multiLevelType w:val="hybridMultilevel"/>
    <w:tmpl w:val="4AA40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1A4619"/>
    <w:multiLevelType w:val="multilevel"/>
    <w:tmpl w:val="7EAAA32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ECC6431"/>
    <w:multiLevelType w:val="hybridMultilevel"/>
    <w:tmpl w:val="E5CC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CE67CE"/>
    <w:multiLevelType w:val="hybridMultilevel"/>
    <w:tmpl w:val="807C7E8C"/>
    <w:lvl w:ilvl="0" w:tplc="94749632">
      <w:start w:val="2"/>
      <w:numFmt w:val="decimal"/>
      <w:lvlText w:val="%1."/>
      <w:lvlJc w:val="left"/>
      <w:pPr>
        <w:ind w:left="1077" w:hanging="360"/>
      </w:pPr>
      <w:rPr>
        <w:rFonts w:hint="default"/>
        <w:i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4B8A36A0"/>
    <w:multiLevelType w:val="hybridMultilevel"/>
    <w:tmpl w:val="9EF6C4BA"/>
    <w:lvl w:ilvl="0" w:tplc="95101572">
      <w:start w:val="1"/>
      <w:numFmt w:val="bullet"/>
      <w:lvlText w:val=""/>
      <w:lvlJc w:val="left"/>
      <w:pPr>
        <w:tabs>
          <w:tab w:val="num" w:pos="720"/>
        </w:tabs>
        <w:ind w:left="720" w:hanging="360"/>
      </w:pPr>
      <w:rPr>
        <w:rFonts w:ascii="Wingdings" w:hAnsi="Wingdings" w:hint="default"/>
      </w:rPr>
    </w:lvl>
    <w:lvl w:ilvl="1" w:tplc="F75C4B82" w:tentative="1">
      <w:start w:val="1"/>
      <w:numFmt w:val="bullet"/>
      <w:lvlText w:val=""/>
      <w:lvlJc w:val="left"/>
      <w:pPr>
        <w:tabs>
          <w:tab w:val="num" w:pos="1440"/>
        </w:tabs>
        <w:ind w:left="1440" w:hanging="360"/>
      </w:pPr>
      <w:rPr>
        <w:rFonts w:ascii="Wingdings" w:hAnsi="Wingdings" w:hint="default"/>
      </w:rPr>
    </w:lvl>
    <w:lvl w:ilvl="2" w:tplc="2D4E6384" w:tentative="1">
      <w:start w:val="1"/>
      <w:numFmt w:val="bullet"/>
      <w:lvlText w:val=""/>
      <w:lvlJc w:val="left"/>
      <w:pPr>
        <w:tabs>
          <w:tab w:val="num" w:pos="2160"/>
        </w:tabs>
        <w:ind w:left="2160" w:hanging="360"/>
      </w:pPr>
      <w:rPr>
        <w:rFonts w:ascii="Wingdings" w:hAnsi="Wingdings" w:hint="default"/>
      </w:rPr>
    </w:lvl>
    <w:lvl w:ilvl="3" w:tplc="4DE0DAD0" w:tentative="1">
      <w:start w:val="1"/>
      <w:numFmt w:val="bullet"/>
      <w:lvlText w:val=""/>
      <w:lvlJc w:val="left"/>
      <w:pPr>
        <w:tabs>
          <w:tab w:val="num" w:pos="2880"/>
        </w:tabs>
        <w:ind w:left="2880" w:hanging="360"/>
      </w:pPr>
      <w:rPr>
        <w:rFonts w:ascii="Wingdings" w:hAnsi="Wingdings" w:hint="default"/>
      </w:rPr>
    </w:lvl>
    <w:lvl w:ilvl="4" w:tplc="1484691A" w:tentative="1">
      <w:start w:val="1"/>
      <w:numFmt w:val="bullet"/>
      <w:lvlText w:val=""/>
      <w:lvlJc w:val="left"/>
      <w:pPr>
        <w:tabs>
          <w:tab w:val="num" w:pos="3600"/>
        </w:tabs>
        <w:ind w:left="3600" w:hanging="360"/>
      </w:pPr>
      <w:rPr>
        <w:rFonts w:ascii="Wingdings" w:hAnsi="Wingdings" w:hint="default"/>
      </w:rPr>
    </w:lvl>
    <w:lvl w:ilvl="5" w:tplc="984E60BA" w:tentative="1">
      <w:start w:val="1"/>
      <w:numFmt w:val="bullet"/>
      <w:lvlText w:val=""/>
      <w:lvlJc w:val="left"/>
      <w:pPr>
        <w:tabs>
          <w:tab w:val="num" w:pos="4320"/>
        </w:tabs>
        <w:ind w:left="4320" w:hanging="360"/>
      </w:pPr>
      <w:rPr>
        <w:rFonts w:ascii="Wingdings" w:hAnsi="Wingdings" w:hint="default"/>
      </w:rPr>
    </w:lvl>
    <w:lvl w:ilvl="6" w:tplc="13B09938" w:tentative="1">
      <w:start w:val="1"/>
      <w:numFmt w:val="bullet"/>
      <w:lvlText w:val=""/>
      <w:lvlJc w:val="left"/>
      <w:pPr>
        <w:tabs>
          <w:tab w:val="num" w:pos="5040"/>
        </w:tabs>
        <w:ind w:left="5040" w:hanging="360"/>
      </w:pPr>
      <w:rPr>
        <w:rFonts w:ascii="Wingdings" w:hAnsi="Wingdings" w:hint="default"/>
      </w:rPr>
    </w:lvl>
    <w:lvl w:ilvl="7" w:tplc="6F1CF600" w:tentative="1">
      <w:start w:val="1"/>
      <w:numFmt w:val="bullet"/>
      <w:lvlText w:val=""/>
      <w:lvlJc w:val="left"/>
      <w:pPr>
        <w:tabs>
          <w:tab w:val="num" w:pos="5760"/>
        </w:tabs>
        <w:ind w:left="5760" w:hanging="360"/>
      </w:pPr>
      <w:rPr>
        <w:rFonts w:ascii="Wingdings" w:hAnsi="Wingdings" w:hint="default"/>
      </w:rPr>
    </w:lvl>
    <w:lvl w:ilvl="8" w:tplc="E32E06F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51087B"/>
    <w:multiLevelType w:val="multilevel"/>
    <w:tmpl w:val="4BFC82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2C2349D"/>
    <w:multiLevelType w:val="hybridMultilevel"/>
    <w:tmpl w:val="1F4E4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DD38C5"/>
    <w:multiLevelType w:val="hybridMultilevel"/>
    <w:tmpl w:val="2F202AEC"/>
    <w:lvl w:ilvl="0" w:tplc="16F658C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CE0B94"/>
    <w:multiLevelType w:val="multilevel"/>
    <w:tmpl w:val="12E42466"/>
    <w:numStyleLink w:val="Style1"/>
  </w:abstractNum>
  <w:abstractNum w:abstractNumId="30" w15:restartNumberingAfterBreak="0">
    <w:nsid w:val="64D62A10"/>
    <w:multiLevelType w:val="hybridMultilevel"/>
    <w:tmpl w:val="2A22A63C"/>
    <w:lvl w:ilvl="0" w:tplc="5D503C34">
      <w:start w:val="7"/>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5B6549B"/>
    <w:multiLevelType w:val="hybridMultilevel"/>
    <w:tmpl w:val="55CE5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09D0E72"/>
    <w:multiLevelType w:val="hybridMultilevel"/>
    <w:tmpl w:val="A0B01A04"/>
    <w:lvl w:ilvl="0" w:tplc="D460E70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3CC2A3F"/>
    <w:multiLevelType w:val="hybridMultilevel"/>
    <w:tmpl w:val="6B9A8B60"/>
    <w:lvl w:ilvl="0" w:tplc="822E8D8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5A20CF6"/>
    <w:multiLevelType w:val="hybridMultilevel"/>
    <w:tmpl w:val="CFF23614"/>
    <w:lvl w:ilvl="0" w:tplc="D2E8C88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5BE5A8E"/>
    <w:multiLevelType w:val="multilevel"/>
    <w:tmpl w:val="12E4246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6EE5A0F"/>
    <w:multiLevelType w:val="hybridMultilevel"/>
    <w:tmpl w:val="EBBC18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BD73905"/>
    <w:multiLevelType w:val="hybridMultilevel"/>
    <w:tmpl w:val="04941DB4"/>
    <w:lvl w:ilvl="0" w:tplc="08090001">
      <w:start w:val="1"/>
      <w:numFmt w:val="bullet"/>
      <w:lvlText w:val=""/>
      <w:lvlJc w:val="left"/>
      <w:pPr>
        <w:tabs>
          <w:tab w:val="num" w:pos="360"/>
        </w:tabs>
        <w:ind w:left="360" w:hanging="360"/>
      </w:pPr>
      <w:rPr>
        <w:rFonts w:ascii="Symbol" w:hAnsi="Symbol" w:hint="default"/>
      </w:rPr>
    </w:lvl>
    <w:lvl w:ilvl="1" w:tplc="0C742E8A">
      <w:start w:val="1"/>
      <w:numFmt w:val="bullet"/>
      <w:lvlText w:val="-"/>
      <w:lvlJc w:val="left"/>
      <w:pPr>
        <w:tabs>
          <w:tab w:val="num" w:pos="1080"/>
        </w:tabs>
        <w:ind w:left="1080" w:hanging="360"/>
      </w:pPr>
      <w:rPr>
        <w:rFonts w:ascii="Tahoma" w:eastAsia="Times New Roman" w:hAnsi="Tahoma"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2055E4"/>
    <w:multiLevelType w:val="hybridMultilevel"/>
    <w:tmpl w:val="AC46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35"/>
  </w:num>
  <w:num w:numId="13">
    <w:abstractNumId w:val="27"/>
  </w:num>
  <w:num w:numId="14">
    <w:abstractNumId w:val="37"/>
  </w:num>
  <w:num w:numId="15">
    <w:abstractNumId w:val="10"/>
  </w:num>
  <w:num w:numId="16">
    <w:abstractNumId w:val="14"/>
  </w:num>
  <w:num w:numId="17">
    <w:abstractNumId w:val="21"/>
  </w:num>
  <w:num w:numId="18">
    <w:abstractNumId w:val="17"/>
  </w:num>
  <w:num w:numId="19">
    <w:abstractNumId w:val="23"/>
  </w:num>
  <w:num w:numId="20">
    <w:abstractNumId w:val="22"/>
  </w:num>
  <w:num w:numId="21">
    <w:abstractNumId w:val="16"/>
  </w:num>
  <w:num w:numId="22">
    <w:abstractNumId w:val="28"/>
  </w:num>
  <w:num w:numId="23">
    <w:abstractNumId w:val="12"/>
  </w:num>
  <w:num w:numId="24">
    <w:abstractNumId w:val="34"/>
  </w:num>
  <w:num w:numId="25">
    <w:abstractNumId w:val="32"/>
  </w:num>
  <w:num w:numId="26">
    <w:abstractNumId w:val="15"/>
  </w:num>
  <w:num w:numId="27">
    <w:abstractNumId w:val="18"/>
  </w:num>
  <w:num w:numId="28">
    <w:abstractNumId w:val="36"/>
  </w:num>
  <w:num w:numId="29">
    <w:abstractNumId w:val="11"/>
  </w:num>
  <w:num w:numId="30">
    <w:abstractNumId w:val="20"/>
  </w:num>
  <w:num w:numId="31">
    <w:abstractNumId w:val="25"/>
  </w:num>
  <w:num w:numId="32">
    <w:abstractNumId w:val="13"/>
  </w:num>
  <w:num w:numId="33">
    <w:abstractNumId w:val="38"/>
  </w:num>
  <w:num w:numId="34">
    <w:abstractNumId w:val="30"/>
  </w:num>
  <w:num w:numId="35">
    <w:abstractNumId w:val="26"/>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4"/>
  </w:num>
  <w:num w:numId="39">
    <w:abstractNumId w:val="3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01"/>
    <w:rsid w:val="00004E03"/>
    <w:rsid w:val="00005EC7"/>
    <w:rsid w:val="00011386"/>
    <w:rsid w:val="0001374E"/>
    <w:rsid w:val="000159A6"/>
    <w:rsid w:val="00015E1A"/>
    <w:rsid w:val="00023B5A"/>
    <w:rsid w:val="0003279B"/>
    <w:rsid w:val="000336BD"/>
    <w:rsid w:val="00034DF8"/>
    <w:rsid w:val="00040141"/>
    <w:rsid w:val="0004167C"/>
    <w:rsid w:val="00044E73"/>
    <w:rsid w:val="0005498D"/>
    <w:rsid w:val="000572A6"/>
    <w:rsid w:val="00065B25"/>
    <w:rsid w:val="00066A6E"/>
    <w:rsid w:val="00074151"/>
    <w:rsid w:val="00082E6D"/>
    <w:rsid w:val="00084AB1"/>
    <w:rsid w:val="00090B26"/>
    <w:rsid w:val="00091BBE"/>
    <w:rsid w:val="00091EB5"/>
    <w:rsid w:val="0009265B"/>
    <w:rsid w:val="00092B8F"/>
    <w:rsid w:val="00094BAF"/>
    <w:rsid w:val="00094EF9"/>
    <w:rsid w:val="000A2913"/>
    <w:rsid w:val="000A2C04"/>
    <w:rsid w:val="000A395C"/>
    <w:rsid w:val="000A4B59"/>
    <w:rsid w:val="000A4CB4"/>
    <w:rsid w:val="000B386D"/>
    <w:rsid w:val="000B46E2"/>
    <w:rsid w:val="000D320A"/>
    <w:rsid w:val="000E016C"/>
    <w:rsid w:val="000E3E1C"/>
    <w:rsid w:val="000E59E4"/>
    <w:rsid w:val="000E6576"/>
    <w:rsid w:val="000E7982"/>
    <w:rsid w:val="000F2E7A"/>
    <w:rsid w:val="000F657B"/>
    <w:rsid w:val="000F6D41"/>
    <w:rsid w:val="00100A46"/>
    <w:rsid w:val="00100CCC"/>
    <w:rsid w:val="00102650"/>
    <w:rsid w:val="0010423F"/>
    <w:rsid w:val="00111BDD"/>
    <w:rsid w:val="00117547"/>
    <w:rsid w:val="001276D2"/>
    <w:rsid w:val="0013277C"/>
    <w:rsid w:val="001335A3"/>
    <w:rsid w:val="00133C6A"/>
    <w:rsid w:val="001341CA"/>
    <w:rsid w:val="00141174"/>
    <w:rsid w:val="00145435"/>
    <w:rsid w:val="00146B02"/>
    <w:rsid w:val="00147355"/>
    <w:rsid w:val="001516AF"/>
    <w:rsid w:val="00152FE0"/>
    <w:rsid w:val="00154EFD"/>
    <w:rsid w:val="001601AB"/>
    <w:rsid w:val="001602BF"/>
    <w:rsid w:val="00163A6F"/>
    <w:rsid w:val="00166899"/>
    <w:rsid w:val="00166E5D"/>
    <w:rsid w:val="00167C77"/>
    <w:rsid w:val="00167F1C"/>
    <w:rsid w:val="001728A1"/>
    <w:rsid w:val="00172F55"/>
    <w:rsid w:val="001742A2"/>
    <w:rsid w:val="001828CD"/>
    <w:rsid w:val="00183BDA"/>
    <w:rsid w:val="00184494"/>
    <w:rsid w:val="0019033F"/>
    <w:rsid w:val="001A60BF"/>
    <w:rsid w:val="001A783D"/>
    <w:rsid w:val="001B13C3"/>
    <w:rsid w:val="001B7740"/>
    <w:rsid w:val="001B7D7C"/>
    <w:rsid w:val="001C1F20"/>
    <w:rsid w:val="001C227C"/>
    <w:rsid w:val="001C2F45"/>
    <w:rsid w:val="001D2AA2"/>
    <w:rsid w:val="001E1C6F"/>
    <w:rsid w:val="001E4166"/>
    <w:rsid w:val="001F6CDE"/>
    <w:rsid w:val="00206BED"/>
    <w:rsid w:val="00222716"/>
    <w:rsid w:val="002308E9"/>
    <w:rsid w:val="0024038D"/>
    <w:rsid w:val="00243C02"/>
    <w:rsid w:val="00247433"/>
    <w:rsid w:val="002574B6"/>
    <w:rsid w:val="00263515"/>
    <w:rsid w:val="00265200"/>
    <w:rsid w:val="00266AAD"/>
    <w:rsid w:val="00273123"/>
    <w:rsid w:val="00273ED7"/>
    <w:rsid w:val="00274A2D"/>
    <w:rsid w:val="00277D4A"/>
    <w:rsid w:val="0028009B"/>
    <w:rsid w:val="00284B7F"/>
    <w:rsid w:val="002877FD"/>
    <w:rsid w:val="002A237B"/>
    <w:rsid w:val="002A4874"/>
    <w:rsid w:val="002A49FF"/>
    <w:rsid w:val="002A6F1E"/>
    <w:rsid w:val="002A7F69"/>
    <w:rsid w:val="002B0BCE"/>
    <w:rsid w:val="002B12F0"/>
    <w:rsid w:val="002B4087"/>
    <w:rsid w:val="002B529E"/>
    <w:rsid w:val="002B6924"/>
    <w:rsid w:val="002C2888"/>
    <w:rsid w:val="002D62DE"/>
    <w:rsid w:val="002E0D73"/>
    <w:rsid w:val="002E269E"/>
    <w:rsid w:val="002E420B"/>
    <w:rsid w:val="002E73BB"/>
    <w:rsid w:val="002F1AB6"/>
    <w:rsid w:val="002F266E"/>
    <w:rsid w:val="002F7CAE"/>
    <w:rsid w:val="003002B0"/>
    <w:rsid w:val="00302832"/>
    <w:rsid w:val="003046BC"/>
    <w:rsid w:val="003124E6"/>
    <w:rsid w:val="00327F34"/>
    <w:rsid w:val="00330467"/>
    <w:rsid w:val="003334C6"/>
    <w:rsid w:val="003400F1"/>
    <w:rsid w:val="00341E64"/>
    <w:rsid w:val="00346968"/>
    <w:rsid w:val="00346FC5"/>
    <w:rsid w:val="00350404"/>
    <w:rsid w:val="003511C1"/>
    <w:rsid w:val="00365193"/>
    <w:rsid w:val="00367337"/>
    <w:rsid w:val="00370495"/>
    <w:rsid w:val="00375373"/>
    <w:rsid w:val="0037758D"/>
    <w:rsid w:val="003837D3"/>
    <w:rsid w:val="00383F60"/>
    <w:rsid w:val="00385532"/>
    <w:rsid w:val="00391548"/>
    <w:rsid w:val="003A0B1A"/>
    <w:rsid w:val="003A26EF"/>
    <w:rsid w:val="003A3DD1"/>
    <w:rsid w:val="003B037B"/>
    <w:rsid w:val="003B1107"/>
    <w:rsid w:val="003B422F"/>
    <w:rsid w:val="003C2BBD"/>
    <w:rsid w:val="003C4CF0"/>
    <w:rsid w:val="003C5609"/>
    <w:rsid w:val="003C56B9"/>
    <w:rsid w:val="003D356C"/>
    <w:rsid w:val="003D7AB4"/>
    <w:rsid w:val="003E7EC1"/>
    <w:rsid w:val="003F09D5"/>
    <w:rsid w:val="003F4379"/>
    <w:rsid w:val="004022FB"/>
    <w:rsid w:val="00415058"/>
    <w:rsid w:val="00416060"/>
    <w:rsid w:val="00416AA0"/>
    <w:rsid w:val="004201EA"/>
    <w:rsid w:val="00420707"/>
    <w:rsid w:val="00421E28"/>
    <w:rsid w:val="00423314"/>
    <w:rsid w:val="00426202"/>
    <w:rsid w:val="004268DD"/>
    <w:rsid w:val="00432D1A"/>
    <w:rsid w:val="00441B0F"/>
    <w:rsid w:val="0044204E"/>
    <w:rsid w:val="00447C93"/>
    <w:rsid w:val="00450FC1"/>
    <w:rsid w:val="004515AA"/>
    <w:rsid w:val="004516D5"/>
    <w:rsid w:val="00451EC6"/>
    <w:rsid w:val="00454434"/>
    <w:rsid w:val="00454905"/>
    <w:rsid w:val="00463F06"/>
    <w:rsid w:val="004717FA"/>
    <w:rsid w:val="004775B5"/>
    <w:rsid w:val="00480DCE"/>
    <w:rsid w:val="00481FFA"/>
    <w:rsid w:val="00484B6C"/>
    <w:rsid w:val="00490403"/>
    <w:rsid w:val="0049128C"/>
    <w:rsid w:val="00492E94"/>
    <w:rsid w:val="004931C9"/>
    <w:rsid w:val="00493B7E"/>
    <w:rsid w:val="00496B54"/>
    <w:rsid w:val="004A0C5B"/>
    <w:rsid w:val="004C2A96"/>
    <w:rsid w:val="004C506E"/>
    <w:rsid w:val="004D01C6"/>
    <w:rsid w:val="004D1F2E"/>
    <w:rsid w:val="004D3FBF"/>
    <w:rsid w:val="004D57A2"/>
    <w:rsid w:val="004D7E1A"/>
    <w:rsid w:val="004E079D"/>
    <w:rsid w:val="004E5CCD"/>
    <w:rsid w:val="004F1064"/>
    <w:rsid w:val="004F1CED"/>
    <w:rsid w:val="004F2290"/>
    <w:rsid w:val="004F2329"/>
    <w:rsid w:val="004F2AEB"/>
    <w:rsid w:val="004F42B7"/>
    <w:rsid w:val="00501094"/>
    <w:rsid w:val="00503C10"/>
    <w:rsid w:val="00503F97"/>
    <w:rsid w:val="0050761B"/>
    <w:rsid w:val="00510F62"/>
    <w:rsid w:val="00512FB4"/>
    <w:rsid w:val="005248D0"/>
    <w:rsid w:val="00526839"/>
    <w:rsid w:val="00532B53"/>
    <w:rsid w:val="00532ECD"/>
    <w:rsid w:val="00534847"/>
    <w:rsid w:val="00534975"/>
    <w:rsid w:val="005357C3"/>
    <w:rsid w:val="005411DA"/>
    <w:rsid w:val="0054373B"/>
    <w:rsid w:val="005448A5"/>
    <w:rsid w:val="00545431"/>
    <w:rsid w:val="005456CF"/>
    <w:rsid w:val="00557133"/>
    <w:rsid w:val="00557A08"/>
    <w:rsid w:val="0056052E"/>
    <w:rsid w:val="00561FF0"/>
    <w:rsid w:val="00561FF5"/>
    <w:rsid w:val="005620B8"/>
    <w:rsid w:val="0056264E"/>
    <w:rsid w:val="00563C4C"/>
    <w:rsid w:val="005651CC"/>
    <w:rsid w:val="00566883"/>
    <w:rsid w:val="00575193"/>
    <w:rsid w:val="00575443"/>
    <w:rsid w:val="00575675"/>
    <w:rsid w:val="0057731B"/>
    <w:rsid w:val="005831C6"/>
    <w:rsid w:val="00585064"/>
    <w:rsid w:val="005851DD"/>
    <w:rsid w:val="0059415A"/>
    <w:rsid w:val="00597A6F"/>
    <w:rsid w:val="005A0669"/>
    <w:rsid w:val="005A3FC7"/>
    <w:rsid w:val="005B0952"/>
    <w:rsid w:val="005B0D14"/>
    <w:rsid w:val="005B420D"/>
    <w:rsid w:val="005C3BBD"/>
    <w:rsid w:val="005C5C0D"/>
    <w:rsid w:val="005C65DC"/>
    <w:rsid w:val="005C75D8"/>
    <w:rsid w:val="005D1EC8"/>
    <w:rsid w:val="005D2E05"/>
    <w:rsid w:val="005D3ECF"/>
    <w:rsid w:val="005D69DA"/>
    <w:rsid w:val="005E1C80"/>
    <w:rsid w:val="005E4C81"/>
    <w:rsid w:val="005E5CB3"/>
    <w:rsid w:val="005E63A2"/>
    <w:rsid w:val="005F0CF2"/>
    <w:rsid w:val="005F4A51"/>
    <w:rsid w:val="0060255B"/>
    <w:rsid w:val="00603D06"/>
    <w:rsid w:val="00613A78"/>
    <w:rsid w:val="00620231"/>
    <w:rsid w:val="0062276E"/>
    <w:rsid w:val="00623BA9"/>
    <w:rsid w:val="00626B07"/>
    <w:rsid w:val="00630C46"/>
    <w:rsid w:val="006422C8"/>
    <w:rsid w:val="0064269E"/>
    <w:rsid w:val="00643FC9"/>
    <w:rsid w:val="006473C4"/>
    <w:rsid w:val="006503F2"/>
    <w:rsid w:val="006530B2"/>
    <w:rsid w:val="0065380E"/>
    <w:rsid w:val="00655FAE"/>
    <w:rsid w:val="00660AD9"/>
    <w:rsid w:val="006616DD"/>
    <w:rsid w:val="0066278F"/>
    <w:rsid w:val="006637DD"/>
    <w:rsid w:val="00663B05"/>
    <w:rsid w:val="00664EFF"/>
    <w:rsid w:val="00664F81"/>
    <w:rsid w:val="0066662C"/>
    <w:rsid w:val="00667453"/>
    <w:rsid w:val="00670870"/>
    <w:rsid w:val="0067242E"/>
    <w:rsid w:val="00676CEE"/>
    <w:rsid w:val="00680D45"/>
    <w:rsid w:val="006818A0"/>
    <w:rsid w:val="00692101"/>
    <w:rsid w:val="0069263C"/>
    <w:rsid w:val="00694F9D"/>
    <w:rsid w:val="006A4AC1"/>
    <w:rsid w:val="006A7583"/>
    <w:rsid w:val="006A76F7"/>
    <w:rsid w:val="006A7B5B"/>
    <w:rsid w:val="006B402F"/>
    <w:rsid w:val="006B403C"/>
    <w:rsid w:val="006B6A94"/>
    <w:rsid w:val="006B7206"/>
    <w:rsid w:val="006C18DD"/>
    <w:rsid w:val="006C2CDE"/>
    <w:rsid w:val="006C348F"/>
    <w:rsid w:val="006C3C5B"/>
    <w:rsid w:val="006C3F54"/>
    <w:rsid w:val="006C4539"/>
    <w:rsid w:val="006D068B"/>
    <w:rsid w:val="006D0C3C"/>
    <w:rsid w:val="006D7B81"/>
    <w:rsid w:val="006E040F"/>
    <w:rsid w:val="006E2044"/>
    <w:rsid w:val="006F163E"/>
    <w:rsid w:val="006F240D"/>
    <w:rsid w:val="00702DE1"/>
    <w:rsid w:val="007038A9"/>
    <w:rsid w:val="00705AD4"/>
    <w:rsid w:val="00711435"/>
    <w:rsid w:val="00721222"/>
    <w:rsid w:val="00722DE1"/>
    <w:rsid w:val="00732EC0"/>
    <w:rsid w:val="007360E6"/>
    <w:rsid w:val="00741F32"/>
    <w:rsid w:val="00742AEB"/>
    <w:rsid w:val="00752418"/>
    <w:rsid w:val="00755123"/>
    <w:rsid w:val="00755A21"/>
    <w:rsid w:val="00756C85"/>
    <w:rsid w:val="00756DED"/>
    <w:rsid w:val="007626E1"/>
    <w:rsid w:val="00765C5D"/>
    <w:rsid w:val="00766A33"/>
    <w:rsid w:val="00766EE1"/>
    <w:rsid w:val="007709C9"/>
    <w:rsid w:val="0077527C"/>
    <w:rsid w:val="00777783"/>
    <w:rsid w:val="007804E3"/>
    <w:rsid w:val="00780579"/>
    <w:rsid w:val="0078695F"/>
    <w:rsid w:val="007874F6"/>
    <w:rsid w:val="0079076E"/>
    <w:rsid w:val="0079087F"/>
    <w:rsid w:val="00791949"/>
    <w:rsid w:val="00792422"/>
    <w:rsid w:val="00792924"/>
    <w:rsid w:val="0079602B"/>
    <w:rsid w:val="0079700C"/>
    <w:rsid w:val="007A1FB5"/>
    <w:rsid w:val="007A6A53"/>
    <w:rsid w:val="007A6B3D"/>
    <w:rsid w:val="007C1F0A"/>
    <w:rsid w:val="007C2343"/>
    <w:rsid w:val="007C49C2"/>
    <w:rsid w:val="007D61D7"/>
    <w:rsid w:val="007D6A67"/>
    <w:rsid w:val="007D6F19"/>
    <w:rsid w:val="007D7D66"/>
    <w:rsid w:val="007E20D6"/>
    <w:rsid w:val="007E4EFA"/>
    <w:rsid w:val="007F7808"/>
    <w:rsid w:val="00803568"/>
    <w:rsid w:val="00803621"/>
    <w:rsid w:val="008134FB"/>
    <w:rsid w:val="00820B68"/>
    <w:rsid w:val="0082288F"/>
    <w:rsid w:val="00831141"/>
    <w:rsid w:val="00833591"/>
    <w:rsid w:val="008341F2"/>
    <w:rsid w:val="00834272"/>
    <w:rsid w:val="008345FA"/>
    <w:rsid w:val="00837BCB"/>
    <w:rsid w:val="008401C1"/>
    <w:rsid w:val="00845668"/>
    <w:rsid w:val="0084580F"/>
    <w:rsid w:val="00846480"/>
    <w:rsid w:val="00853F94"/>
    <w:rsid w:val="00863510"/>
    <w:rsid w:val="0086418B"/>
    <w:rsid w:val="00871A83"/>
    <w:rsid w:val="00873D7B"/>
    <w:rsid w:val="0087534B"/>
    <w:rsid w:val="00875775"/>
    <w:rsid w:val="00880119"/>
    <w:rsid w:val="00880534"/>
    <w:rsid w:val="00882ADA"/>
    <w:rsid w:val="00883DD3"/>
    <w:rsid w:val="0088400D"/>
    <w:rsid w:val="008859AD"/>
    <w:rsid w:val="008868A1"/>
    <w:rsid w:val="00890E90"/>
    <w:rsid w:val="0089403A"/>
    <w:rsid w:val="008A5AB7"/>
    <w:rsid w:val="008B48A1"/>
    <w:rsid w:val="008C3D6A"/>
    <w:rsid w:val="008C4935"/>
    <w:rsid w:val="008C5D1E"/>
    <w:rsid w:val="008D0EC1"/>
    <w:rsid w:val="008D2A5F"/>
    <w:rsid w:val="008F17BD"/>
    <w:rsid w:val="008F4294"/>
    <w:rsid w:val="009020CC"/>
    <w:rsid w:val="00903D3C"/>
    <w:rsid w:val="00905165"/>
    <w:rsid w:val="00905BA5"/>
    <w:rsid w:val="0090711E"/>
    <w:rsid w:val="0091059B"/>
    <w:rsid w:val="00913C85"/>
    <w:rsid w:val="0091583E"/>
    <w:rsid w:val="00915E6B"/>
    <w:rsid w:val="00930117"/>
    <w:rsid w:val="00936674"/>
    <w:rsid w:val="00937D15"/>
    <w:rsid w:val="00940F53"/>
    <w:rsid w:val="009446F6"/>
    <w:rsid w:val="00954863"/>
    <w:rsid w:val="00955830"/>
    <w:rsid w:val="00956561"/>
    <w:rsid w:val="00957F11"/>
    <w:rsid w:val="00960B33"/>
    <w:rsid w:val="00960E43"/>
    <w:rsid w:val="009614CA"/>
    <w:rsid w:val="00961A91"/>
    <w:rsid w:val="00964364"/>
    <w:rsid w:val="00974DE9"/>
    <w:rsid w:val="0097781E"/>
    <w:rsid w:val="00982AA4"/>
    <w:rsid w:val="00982EA4"/>
    <w:rsid w:val="00985B5A"/>
    <w:rsid w:val="0098674F"/>
    <w:rsid w:val="00995463"/>
    <w:rsid w:val="009960BA"/>
    <w:rsid w:val="009971BB"/>
    <w:rsid w:val="009A1785"/>
    <w:rsid w:val="009A5590"/>
    <w:rsid w:val="009A7DE4"/>
    <w:rsid w:val="009B335F"/>
    <w:rsid w:val="009B385C"/>
    <w:rsid w:val="009C3870"/>
    <w:rsid w:val="009C539B"/>
    <w:rsid w:val="009C7CC3"/>
    <w:rsid w:val="009D3E8B"/>
    <w:rsid w:val="009D6965"/>
    <w:rsid w:val="009D6D08"/>
    <w:rsid w:val="009E17AB"/>
    <w:rsid w:val="009E1CF3"/>
    <w:rsid w:val="009E30BC"/>
    <w:rsid w:val="009E4D14"/>
    <w:rsid w:val="009E4D16"/>
    <w:rsid w:val="009F1C55"/>
    <w:rsid w:val="009F5988"/>
    <w:rsid w:val="009F5D02"/>
    <w:rsid w:val="009F68F7"/>
    <w:rsid w:val="00A0155E"/>
    <w:rsid w:val="00A01CD2"/>
    <w:rsid w:val="00A04EA5"/>
    <w:rsid w:val="00A119C6"/>
    <w:rsid w:val="00A11A79"/>
    <w:rsid w:val="00A133EB"/>
    <w:rsid w:val="00A14F67"/>
    <w:rsid w:val="00A271E1"/>
    <w:rsid w:val="00A27E6D"/>
    <w:rsid w:val="00A31725"/>
    <w:rsid w:val="00A326EB"/>
    <w:rsid w:val="00A36B30"/>
    <w:rsid w:val="00A36CF5"/>
    <w:rsid w:val="00A37A25"/>
    <w:rsid w:val="00A428B9"/>
    <w:rsid w:val="00A4391D"/>
    <w:rsid w:val="00A55697"/>
    <w:rsid w:val="00A5589B"/>
    <w:rsid w:val="00A55D57"/>
    <w:rsid w:val="00A60059"/>
    <w:rsid w:val="00A6126E"/>
    <w:rsid w:val="00A63703"/>
    <w:rsid w:val="00A654C0"/>
    <w:rsid w:val="00A65C20"/>
    <w:rsid w:val="00A70A7E"/>
    <w:rsid w:val="00A71D65"/>
    <w:rsid w:val="00A73DF3"/>
    <w:rsid w:val="00A76F0D"/>
    <w:rsid w:val="00A80CEB"/>
    <w:rsid w:val="00A90558"/>
    <w:rsid w:val="00A91107"/>
    <w:rsid w:val="00A92183"/>
    <w:rsid w:val="00A92859"/>
    <w:rsid w:val="00A93E85"/>
    <w:rsid w:val="00A943E8"/>
    <w:rsid w:val="00A96100"/>
    <w:rsid w:val="00AA6745"/>
    <w:rsid w:val="00AB385B"/>
    <w:rsid w:val="00AB404F"/>
    <w:rsid w:val="00AB469B"/>
    <w:rsid w:val="00AB60EC"/>
    <w:rsid w:val="00AB6D22"/>
    <w:rsid w:val="00AC1131"/>
    <w:rsid w:val="00AC31E1"/>
    <w:rsid w:val="00AC330E"/>
    <w:rsid w:val="00AC4EA1"/>
    <w:rsid w:val="00AC678E"/>
    <w:rsid w:val="00AC73A2"/>
    <w:rsid w:val="00AD1B4C"/>
    <w:rsid w:val="00AD3173"/>
    <w:rsid w:val="00AD61F2"/>
    <w:rsid w:val="00AE101D"/>
    <w:rsid w:val="00AE2920"/>
    <w:rsid w:val="00AE3BFB"/>
    <w:rsid w:val="00AE4DCC"/>
    <w:rsid w:val="00AE7BB8"/>
    <w:rsid w:val="00AF323E"/>
    <w:rsid w:val="00AF3F3B"/>
    <w:rsid w:val="00AF48E7"/>
    <w:rsid w:val="00B0133F"/>
    <w:rsid w:val="00B0293F"/>
    <w:rsid w:val="00B12ADE"/>
    <w:rsid w:val="00B131A5"/>
    <w:rsid w:val="00B17C46"/>
    <w:rsid w:val="00B21E58"/>
    <w:rsid w:val="00B23E4E"/>
    <w:rsid w:val="00B2465C"/>
    <w:rsid w:val="00B247F0"/>
    <w:rsid w:val="00B24B1B"/>
    <w:rsid w:val="00B270CB"/>
    <w:rsid w:val="00B3772F"/>
    <w:rsid w:val="00B37967"/>
    <w:rsid w:val="00B429ED"/>
    <w:rsid w:val="00B42A03"/>
    <w:rsid w:val="00B46FD5"/>
    <w:rsid w:val="00B51C39"/>
    <w:rsid w:val="00B53339"/>
    <w:rsid w:val="00B545C9"/>
    <w:rsid w:val="00B6407C"/>
    <w:rsid w:val="00B64B3C"/>
    <w:rsid w:val="00B6554E"/>
    <w:rsid w:val="00B66D0A"/>
    <w:rsid w:val="00B66DAD"/>
    <w:rsid w:val="00B70855"/>
    <w:rsid w:val="00B71239"/>
    <w:rsid w:val="00B73014"/>
    <w:rsid w:val="00B73992"/>
    <w:rsid w:val="00B74A15"/>
    <w:rsid w:val="00B7564E"/>
    <w:rsid w:val="00B77FAF"/>
    <w:rsid w:val="00B81C84"/>
    <w:rsid w:val="00B86AF4"/>
    <w:rsid w:val="00B90135"/>
    <w:rsid w:val="00B912FC"/>
    <w:rsid w:val="00B927F6"/>
    <w:rsid w:val="00B93F0D"/>
    <w:rsid w:val="00B97581"/>
    <w:rsid w:val="00BA1AD1"/>
    <w:rsid w:val="00BA1BCE"/>
    <w:rsid w:val="00BA1E0C"/>
    <w:rsid w:val="00BA5874"/>
    <w:rsid w:val="00BA791E"/>
    <w:rsid w:val="00BB1102"/>
    <w:rsid w:val="00BC5855"/>
    <w:rsid w:val="00BD17EA"/>
    <w:rsid w:val="00BD1FB9"/>
    <w:rsid w:val="00BD5249"/>
    <w:rsid w:val="00BE3FD4"/>
    <w:rsid w:val="00BF29D5"/>
    <w:rsid w:val="00BF6032"/>
    <w:rsid w:val="00BF7C01"/>
    <w:rsid w:val="00C05843"/>
    <w:rsid w:val="00C07917"/>
    <w:rsid w:val="00C07F4A"/>
    <w:rsid w:val="00C13B17"/>
    <w:rsid w:val="00C14418"/>
    <w:rsid w:val="00C16973"/>
    <w:rsid w:val="00C2023A"/>
    <w:rsid w:val="00C202BB"/>
    <w:rsid w:val="00C21840"/>
    <w:rsid w:val="00C3685D"/>
    <w:rsid w:val="00C37551"/>
    <w:rsid w:val="00C4150F"/>
    <w:rsid w:val="00C42899"/>
    <w:rsid w:val="00C43089"/>
    <w:rsid w:val="00C51DDC"/>
    <w:rsid w:val="00C53101"/>
    <w:rsid w:val="00C538CD"/>
    <w:rsid w:val="00C54EA3"/>
    <w:rsid w:val="00C5683E"/>
    <w:rsid w:val="00C57612"/>
    <w:rsid w:val="00C6141C"/>
    <w:rsid w:val="00C66F08"/>
    <w:rsid w:val="00C672D4"/>
    <w:rsid w:val="00C67334"/>
    <w:rsid w:val="00C705B0"/>
    <w:rsid w:val="00C7318C"/>
    <w:rsid w:val="00C734BA"/>
    <w:rsid w:val="00C75AFD"/>
    <w:rsid w:val="00C83D53"/>
    <w:rsid w:val="00C901E4"/>
    <w:rsid w:val="00CA16EB"/>
    <w:rsid w:val="00CA19CD"/>
    <w:rsid w:val="00CA26BB"/>
    <w:rsid w:val="00CA4A63"/>
    <w:rsid w:val="00CB2BC5"/>
    <w:rsid w:val="00CC1DF0"/>
    <w:rsid w:val="00CC343C"/>
    <w:rsid w:val="00CC3706"/>
    <w:rsid w:val="00CC497A"/>
    <w:rsid w:val="00CC5336"/>
    <w:rsid w:val="00CC6322"/>
    <w:rsid w:val="00CD04EB"/>
    <w:rsid w:val="00CD0EC8"/>
    <w:rsid w:val="00CD2210"/>
    <w:rsid w:val="00CD405F"/>
    <w:rsid w:val="00CD617C"/>
    <w:rsid w:val="00CE0088"/>
    <w:rsid w:val="00CE1CE4"/>
    <w:rsid w:val="00CE5537"/>
    <w:rsid w:val="00CF028D"/>
    <w:rsid w:val="00CF17EB"/>
    <w:rsid w:val="00CF18F1"/>
    <w:rsid w:val="00CF598E"/>
    <w:rsid w:val="00D00D33"/>
    <w:rsid w:val="00D0492C"/>
    <w:rsid w:val="00D15638"/>
    <w:rsid w:val="00D15AF3"/>
    <w:rsid w:val="00D16B5A"/>
    <w:rsid w:val="00D23A41"/>
    <w:rsid w:val="00D240FA"/>
    <w:rsid w:val="00D26DAD"/>
    <w:rsid w:val="00D33690"/>
    <w:rsid w:val="00D37E0C"/>
    <w:rsid w:val="00D40D1C"/>
    <w:rsid w:val="00D507F8"/>
    <w:rsid w:val="00D5127A"/>
    <w:rsid w:val="00D512F6"/>
    <w:rsid w:val="00D5733D"/>
    <w:rsid w:val="00D626BF"/>
    <w:rsid w:val="00D6287B"/>
    <w:rsid w:val="00D66189"/>
    <w:rsid w:val="00D67C16"/>
    <w:rsid w:val="00D70FF0"/>
    <w:rsid w:val="00D720C1"/>
    <w:rsid w:val="00D72CA8"/>
    <w:rsid w:val="00D75F56"/>
    <w:rsid w:val="00D777B5"/>
    <w:rsid w:val="00D80A5D"/>
    <w:rsid w:val="00D80DD7"/>
    <w:rsid w:val="00D87A57"/>
    <w:rsid w:val="00D939BF"/>
    <w:rsid w:val="00D94696"/>
    <w:rsid w:val="00DA3CB4"/>
    <w:rsid w:val="00DA563B"/>
    <w:rsid w:val="00DB3CC4"/>
    <w:rsid w:val="00DB4D9C"/>
    <w:rsid w:val="00DC0D9C"/>
    <w:rsid w:val="00DC3C0D"/>
    <w:rsid w:val="00DC521C"/>
    <w:rsid w:val="00DD1C3D"/>
    <w:rsid w:val="00DD3DA4"/>
    <w:rsid w:val="00DD4419"/>
    <w:rsid w:val="00DE5D49"/>
    <w:rsid w:val="00DE6486"/>
    <w:rsid w:val="00DF1338"/>
    <w:rsid w:val="00DF1581"/>
    <w:rsid w:val="00DF1967"/>
    <w:rsid w:val="00E006F8"/>
    <w:rsid w:val="00E024C9"/>
    <w:rsid w:val="00E03E43"/>
    <w:rsid w:val="00E057DF"/>
    <w:rsid w:val="00E14A84"/>
    <w:rsid w:val="00E162F1"/>
    <w:rsid w:val="00E16FB4"/>
    <w:rsid w:val="00E209F2"/>
    <w:rsid w:val="00E22DA9"/>
    <w:rsid w:val="00E30EA4"/>
    <w:rsid w:val="00E31639"/>
    <w:rsid w:val="00E31A5B"/>
    <w:rsid w:val="00E349DD"/>
    <w:rsid w:val="00E353FB"/>
    <w:rsid w:val="00E35461"/>
    <w:rsid w:val="00E400E5"/>
    <w:rsid w:val="00E42735"/>
    <w:rsid w:val="00E44CE4"/>
    <w:rsid w:val="00E50908"/>
    <w:rsid w:val="00E51EC7"/>
    <w:rsid w:val="00E52E2C"/>
    <w:rsid w:val="00E63B63"/>
    <w:rsid w:val="00E6426E"/>
    <w:rsid w:val="00E8424A"/>
    <w:rsid w:val="00E9196C"/>
    <w:rsid w:val="00E91FF7"/>
    <w:rsid w:val="00E948CB"/>
    <w:rsid w:val="00EA1265"/>
    <w:rsid w:val="00EA166E"/>
    <w:rsid w:val="00EA2651"/>
    <w:rsid w:val="00EA7111"/>
    <w:rsid w:val="00EB1BED"/>
    <w:rsid w:val="00EB54C7"/>
    <w:rsid w:val="00EB66B1"/>
    <w:rsid w:val="00EC3886"/>
    <w:rsid w:val="00EC40D4"/>
    <w:rsid w:val="00EC78A9"/>
    <w:rsid w:val="00EC79F1"/>
    <w:rsid w:val="00ED0437"/>
    <w:rsid w:val="00ED30B9"/>
    <w:rsid w:val="00ED4CF4"/>
    <w:rsid w:val="00ED6A68"/>
    <w:rsid w:val="00EE50B9"/>
    <w:rsid w:val="00EF3CB6"/>
    <w:rsid w:val="00EF50C8"/>
    <w:rsid w:val="00F02691"/>
    <w:rsid w:val="00F04502"/>
    <w:rsid w:val="00F04A4A"/>
    <w:rsid w:val="00F06936"/>
    <w:rsid w:val="00F0782C"/>
    <w:rsid w:val="00F23F37"/>
    <w:rsid w:val="00F33FCD"/>
    <w:rsid w:val="00F340DC"/>
    <w:rsid w:val="00F34597"/>
    <w:rsid w:val="00F367F1"/>
    <w:rsid w:val="00F37D1A"/>
    <w:rsid w:val="00F419B2"/>
    <w:rsid w:val="00F44CD5"/>
    <w:rsid w:val="00F450DE"/>
    <w:rsid w:val="00F46384"/>
    <w:rsid w:val="00F469E9"/>
    <w:rsid w:val="00F568E6"/>
    <w:rsid w:val="00F63B0C"/>
    <w:rsid w:val="00F66875"/>
    <w:rsid w:val="00F72C55"/>
    <w:rsid w:val="00F77158"/>
    <w:rsid w:val="00F85CB4"/>
    <w:rsid w:val="00F90497"/>
    <w:rsid w:val="00F941DA"/>
    <w:rsid w:val="00F95E74"/>
    <w:rsid w:val="00F97B40"/>
    <w:rsid w:val="00FA40B1"/>
    <w:rsid w:val="00FA5238"/>
    <w:rsid w:val="00FA5809"/>
    <w:rsid w:val="00FB1F7D"/>
    <w:rsid w:val="00FB2202"/>
    <w:rsid w:val="00FB2216"/>
    <w:rsid w:val="00FB2D57"/>
    <w:rsid w:val="00FB42D3"/>
    <w:rsid w:val="00FB5F8F"/>
    <w:rsid w:val="00FB652F"/>
    <w:rsid w:val="00FC5B43"/>
    <w:rsid w:val="00FD0678"/>
    <w:rsid w:val="00FD1B06"/>
    <w:rsid w:val="00FD225F"/>
    <w:rsid w:val="00FD3D32"/>
    <w:rsid w:val="00FD3D97"/>
    <w:rsid w:val="00FD4CE7"/>
    <w:rsid w:val="00FD70D4"/>
    <w:rsid w:val="00FE1B66"/>
    <w:rsid w:val="00FE26EB"/>
    <w:rsid w:val="00FE62ED"/>
    <w:rsid w:val="00FE6E4F"/>
    <w:rsid w:val="00FF0B66"/>
    <w:rsid w:val="00FF0BDE"/>
    <w:rsid w:val="00FF1633"/>
    <w:rsid w:val="00FF232F"/>
    <w:rsid w:val="00FF5E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73E04CE7"/>
  <w15:docId w15:val="{387B9382-079E-43A5-A57F-DCA295D8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23E"/>
    <w:rPr>
      <w:sz w:val="24"/>
      <w:szCs w:val="24"/>
      <w:lang w:eastAsia="en-US"/>
    </w:rPr>
  </w:style>
  <w:style w:type="paragraph" w:styleId="Heading1">
    <w:name w:val="heading 1"/>
    <w:basedOn w:val="Normal"/>
    <w:next w:val="Normal"/>
    <w:link w:val="Heading1Char"/>
    <w:autoRedefine/>
    <w:uiPriority w:val="9"/>
    <w:qFormat/>
    <w:rsid w:val="00756DED"/>
    <w:pPr>
      <w:keepNext/>
      <w:keepLines/>
      <w:pageBreakBefore/>
      <w:numPr>
        <w:numId w:val="20"/>
      </w:numPr>
      <w:ind w:left="567" w:hanging="567"/>
      <w:outlineLvl w:val="0"/>
    </w:pPr>
    <w:rPr>
      <w:rFonts w:eastAsia="SimSun"/>
      <w:b/>
      <w:bCs/>
      <w:sz w:val="32"/>
      <w:szCs w:val="28"/>
    </w:rPr>
  </w:style>
  <w:style w:type="paragraph" w:styleId="Heading2">
    <w:name w:val="heading 2"/>
    <w:basedOn w:val="Normal"/>
    <w:next w:val="Normal"/>
    <w:link w:val="Heading2Char"/>
    <w:autoRedefine/>
    <w:uiPriority w:val="9"/>
    <w:unhideWhenUsed/>
    <w:qFormat/>
    <w:rsid w:val="006B6A94"/>
    <w:pPr>
      <w:keepNext/>
      <w:keepLines/>
      <w:numPr>
        <w:ilvl w:val="1"/>
        <w:numId w:val="20"/>
      </w:numPr>
      <w:outlineLvl w:val="1"/>
    </w:pPr>
    <w:rPr>
      <w:rFonts w:eastAsia="SimSun"/>
      <w:b/>
      <w:bCs/>
      <w:szCs w:val="26"/>
    </w:rPr>
  </w:style>
  <w:style w:type="paragraph" w:styleId="Heading3">
    <w:name w:val="heading 3"/>
    <w:basedOn w:val="Normal"/>
    <w:next w:val="Normal"/>
    <w:link w:val="Heading3Char"/>
    <w:autoRedefine/>
    <w:uiPriority w:val="9"/>
    <w:unhideWhenUsed/>
    <w:qFormat/>
    <w:rsid w:val="009F1C55"/>
    <w:pPr>
      <w:keepNext/>
      <w:keepLines/>
      <w:numPr>
        <w:ilvl w:val="2"/>
        <w:numId w:val="20"/>
      </w:numPr>
      <w:outlineLvl w:val="2"/>
    </w:pPr>
    <w:rPr>
      <w:rFonts w:eastAsia="SimSun"/>
      <w:b/>
      <w:bCs/>
    </w:rPr>
  </w:style>
  <w:style w:type="paragraph" w:styleId="Heading4">
    <w:name w:val="heading 4"/>
    <w:basedOn w:val="Normal"/>
    <w:next w:val="Normal"/>
    <w:link w:val="Heading4Char"/>
    <w:autoRedefine/>
    <w:uiPriority w:val="9"/>
    <w:unhideWhenUsed/>
    <w:rsid w:val="00EB66B1"/>
    <w:pPr>
      <w:keepNext/>
      <w:keepLines/>
      <w:numPr>
        <w:ilvl w:val="3"/>
        <w:numId w:val="20"/>
      </w:numPr>
      <w:spacing w:before="240" w:after="120"/>
      <w:outlineLvl w:val="3"/>
    </w:pPr>
    <w:rPr>
      <w:rFonts w:eastAsia="SimSun"/>
      <w:b/>
      <w:bCs/>
      <w:iCs/>
    </w:rPr>
  </w:style>
  <w:style w:type="paragraph" w:styleId="Heading5">
    <w:name w:val="heading 5"/>
    <w:basedOn w:val="Normal"/>
    <w:next w:val="Normal"/>
    <w:link w:val="Heading5Char"/>
    <w:autoRedefine/>
    <w:uiPriority w:val="9"/>
    <w:unhideWhenUsed/>
    <w:rsid w:val="00273123"/>
    <w:pPr>
      <w:keepNext/>
      <w:keepLines/>
      <w:numPr>
        <w:ilvl w:val="4"/>
        <w:numId w:val="20"/>
      </w:numPr>
      <w:spacing w:before="240" w:after="120"/>
      <w:outlineLvl w:val="4"/>
    </w:pPr>
    <w:rPr>
      <w:rFonts w:eastAsia="SimSun"/>
      <w:b/>
    </w:rPr>
  </w:style>
  <w:style w:type="paragraph" w:styleId="Heading6">
    <w:name w:val="heading 6"/>
    <w:basedOn w:val="Normal"/>
    <w:next w:val="Normal"/>
    <w:link w:val="Heading6Char"/>
    <w:uiPriority w:val="9"/>
    <w:unhideWhenUsed/>
    <w:rsid w:val="006F163E"/>
    <w:pPr>
      <w:keepNext/>
      <w:keepLines/>
      <w:numPr>
        <w:ilvl w:val="5"/>
        <w:numId w:val="20"/>
      </w:numPr>
      <w:spacing w:before="240" w:after="120"/>
      <w:outlineLvl w:val="5"/>
    </w:pPr>
    <w:rPr>
      <w:rFonts w:eastAsia="SimSun"/>
      <w:b/>
      <w:iCs/>
    </w:rPr>
  </w:style>
  <w:style w:type="paragraph" w:styleId="Heading7">
    <w:name w:val="heading 7"/>
    <w:basedOn w:val="Normal"/>
    <w:next w:val="Normal"/>
    <w:link w:val="Heading7Char"/>
    <w:uiPriority w:val="9"/>
    <w:unhideWhenUsed/>
    <w:rsid w:val="006F163E"/>
    <w:pPr>
      <w:keepNext/>
      <w:keepLines/>
      <w:numPr>
        <w:ilvl w:val="6"/>
        <w:numId w:val="20"/>
      </w:numPr>
      <w:spacing w:before="240" w:after="120"/>
      <w:outlineLvl w:val="6"/>
    </w:pPr>
    <w:rPr>
      <w:rFonts w:eastAsia="SimSun" w:cs="Times New Roman"/>
      <w:b/>
      <w:i/>
      <w:iCs/>
    </w:rPr>
  </w:style>
  <w:style w:type="paragraph" w:styleId="Heading8">
    <w:name w:val="heading 8"/>
    <w:basedOn w:val="Normal"/>
    <w:next w:val="Normal"/>
    <w:link w:val="Heading8Char"/>
    <w:uiPriority w:val="9"/>
    <w:unhideWhenUsed/>
    <w:rsid w:val="006F163E"/>
    <w:pPr>
      <w:keepNext/>
      <w:keepLines/>
      <w:numPr>
        <w:ilvl w:val="7"/>
        <w:numId w:val="20"/>
      </w:numPr>
      <w:spacing w:before="240" w:after="120"/>
      <w:outlineLvl w:val="7"/>
    </w:pPr>
    <w:rPr>
      <w:rFonts w:eastAsia="SimSun" w:cs="Times New Roman"/>
      <w:szCs w:val="20"/>
    </w:rPr>
  </w:style>
  <w:style w:type="paragraph" w:styleId="Heading9">
    <w:name w:val="heading 9"/>
    <w:basedOn w:val="Normal"/>
    <w:next w:val="Normal"/>
    <w:link w:val="Heading9Char"/>
    <w:uiPriority w:val="9"/>
    <w:unhideWhenUsed/>
    <w:rsid w:val="006F163E"/>
    <w:pPr>
      <w:keepNext/>
      <w:keepLines/>
      <w:numPr>
        <w:ilvl w:val="8"/>
        <w:numId w:val="20"/>
      </w:numPr>
      <w:spacing w:before="240" w:after="120"/>
      <w:outlineLvl w:val="8"/>
    </w:pPr>
    <w:rPr>
      <w:rFonts w:eastAsia="SimSu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link w:val="Subheading"/>
    <w:rsid w:val="00E209F2"/>
    <w:rPr>
      <w:rFonts w:ascii="Arial" w:hAnsi="Arial" w:cs="Arial"/>
      <w:b/>
      <w:sz w:val="28"/>
    </w:rPr>
  </w:style>
  <w:style w:type="paragraph" w:styleId="Caption">
    <w:name w:val="caption"/>
    <w:basedOn w:val="Normal"/>
    <w:next w:val="Normal"/>
    <w:uiPriority w:val="35"/>
    <w:unhideWhenUsed/>
    <w:qFormat/>
    <w:rsid w:val="009B335F"/>
    <w:rPr>
      <w:b/>
      <w:bCs/>
      <w:sz w:val="20"/>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SimSun"/>
      <w:b/>
      <w:spacing w:val="5"/>
      <w:sz w:val="36"/>
      <w:szCs w:val="52"/>
    </w:rPr>
  </w:style>
  <w:style w:type="character" w:customStyle="1" w:styleId="TitleChar">
    <w:name w:val="Title Char"/>
    <w:link w:val="Title"/>
    <w:uiPriority w:val="10"/>
    <w:rsid w:val="005B0D14"/>
    <w:rPr>
      <w:rFonts w:eastAsia="SimSun"/>
      <w:b/>
      <w:spacing w:val="5"/>
      <w:sz w:val="36"/>
      <w:szCs w:val="52"/>
    </w:rPr>
  </w:style>
  <w:style w:type="paragraph" w:styleId="Subtitle">
    <w:name w:val="Subtitle"/>
    <w:basedOn w:val="Normal"/>
    <w:next w:val="Normal"/>
    <w:link w:val="SubtitleChar"/>
    <w:autoRedefine/>
    <w:uiPriority w:val="11"/>
    <w:rsid w:val="00EB66B1"/>
    <w:pPr>
      <w:keepNext/>
      <w:numPr>
        <w:ilvl w:val="1"/>
      </w:numPr>
    </w:pPr>
    <w:rPr>
      <w:rFonts w:eastAsia="SimSun"/>
      <w:iCs/>
      <w:spacing w:val="15"/>
      <w:sz w:val="28"/>
    </w:rPr>
  </w:style>
  <w:style w:type="character" w:customStyle="1" w:styleId="SubtitleChar">
    <w:name w:val="Subtitle Char"/>
    <w:link w:val="Subtitle"/>
    <w:uiPriority w:val="11"/>
    <w:rsid w:val="00EB66B1"/>
    <w:rPr>
      <w:rFonts w:ascii="Arial" w:eastAsia="SimSun" w:hAnsi="Arial" w:cs="Arial"/>
      <w:iCs/>
      <w:spacing w:val="15"/>
      <w:sz w:val="28"/>
      <w:szCs w:val="24"/>
    </w:rPr>
  </w:style>
  <w:style w:type="character" w:customStyle="1" w:styleId="Heading1Char">
    <w:name w:val="Heading 1 Char"/>
    <w:link w:val="Heading1"/>
    <w:uiPriority w:val="9"/>
    <w:rsid w:val="00756DED"/>
    <w:rPr>
      <w:rFonts w:eastAsia="SimSun"/>
      <w:b/>
      <w:bCs/>
      <w:sz w:val="32"/>
      <w:szCs w:val="28"/>
      <w:lang w:eastAsia="en-US"/>
    </w:rPr>
  </w:style>
  <w:style w:type="character" w:customStyle="1" w:styleId="Heading2Char">
    <w:name w:val="Heading 2 Char"/>
    <w:link w:val="Heading2"/>
    <w:uiPriority w:val="9"/>
    <w:rsid w:val="006B6A94"/>
    <w:rPr>
      <w:rFonts w:eastAsia="SimSun"/>
      <w:b/>
      <w:bCs/>
      <w:sz w:val="24"/>
      <w:szCs w:val="26"/>
      <w:lang w:eastAsia="en-US"/>
    </w:rPr>
  </w:style>
  <w:style w:type="character" w:customStyle="1" w:styleId="Heading3Char">
    <w:name w:val="Heading 3 Char"/>
    <w:link w:val="Heading3"/>
    <w:uiPriority w:val="9"/>
    <w:rsid w:val="009F1C55"/>
    <w:rPr>
      <w:rFonts w:eastAsia="SimSun"/>
      <w:b/>
      <w:bCs/>
    </w:rPr>
  </w:style>
  <w:style w:type="character" w:customStyle="1" w:styleId="Heading4Char">
    <w:name w:val="Heading 4 Char"/>
    <w:link w:val="Heading4"/>
    <w:uiPriority w:val="9"/>
    <w:rsid w:val="00EB66B1"/>
    <w:rPr>
      <w:rFonts w:eastAsia="SimSun"/>
      <w:b/>
      <w:bCs/>
      <w:iCs/>
    </w:rPr>
  </w:style>
  <w:style w:type="character" w:customStyle="1" w:styleId="Heading5Char">
    <w:name w:val="Heading 5 Char"/>
    <w:link w:val="Heading5"/>
    <w:uiPriority w:val="9"/>
    <w:rsid w:val="00273123"/>
    <w:rPr>
      <w:rFonts w:eastAsia="SimSun"/>
      <w:b/>
    </w:rPr>
  </w:style>
  <w:style w:type="character" w:customStyle="1" w:styleId="Heading6Char">
    <w:name w:val="Heading 6 Char"/>
    <w:link w:val="Heading6"/>
    <w:uiPriority w:val="9"/>
    <w:rsid w:val="006F163E"/>
    <w:rPr>
      <w:rFonts w:eastAsia="SimSun"/>
      <w:b/>
      <w:iCs/>
    </w:rPr>
  </w:style>
  <w:style w:type="paragraph" w:styleId="Quote">
    <w:name w:val="Quote"/>
    <w:basedOn w:val="Normal"/>
    <w:next w:val="Normal"/>
    <w:link w:val="QuoteChar1"/>
    <w:uiPriority w:val="29"/>
    <w:rsid w:val="00AD1B4C"/>
    <w:pPr>
      <w:ind w:left="794" w:right="794"/>
    </w:pPr>
    <w:rPr>
      <w:i/>
      <w:iCs/>
    </w:rPr>
  </w:style>
  <w:style w:type="character" w:customStyle="1" w:styleId="QuoteChar">
    <w:name w:val="Quote Char"/>
    <w:uiPriority w:val="29"/>
    <w:rsid w:val="00E209F2"/>
    <w:rPr>
      <w:rFonts w:ascii="Arial" w:hAnsi="Arial" w:cs="Arial"/>
      <w:i/>
      <w:iCs/>
      <w:color w:val="000000"/>
      <w:sz w:val="28"/>
    </w:rPr>
  </w:style>
  <w:style w:type="character" w:customStyle="1" w:styleId="QuoteChar1">
    <w:name w:val="Quote Char1"/>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uiPriority w:val="21"/>
    <w:rsid w:val="00416AA0"/>
    <w:rPr>
      <w:b/>
      <w:bCs/>
      <w:i/>
      <w:iCs/>
      <w:color w:val="auto"/>
    </w:rPr>
  </w:style>
  <w:style w:type="paragraph" w:styleId="IntenseQuote">
    <w:name w:val="Intense Quote"/>
    <w:basedOn w:val="Normal"/>
    <w:next w:val="Normal"/>
    <w:link w:val="IntenseQuoteChar"/>
    <w:uiPriority w:val="30"/>
    <w:rsid w:val="001C2F45"/>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1C2F45"/>
    <w:rPr>
      <w:rFonts w:ascii="Arial" w:hAnsi="Arial" w:cs="Arial"/>
      <w:b/>
      <w:bCs/>
      <w:i/>
      <w:iCs/>
      <w:sz w:val="24"/>
    </w:rPr>
  </w:style>
  <w:style w:type="character" w:styleId="SubtleReference">
    <w:name w:val="Subtle Reference"/>
    <w:uiPriority w:val="31"/>
    <w:rsid w:val="00B7564E"/>
    <w:rPr>
      <w:smallCaps/>
      <w:color w:val="auto"/>
      <w:u w:val="single"/>
    </w:rPr>
  </w:style>
  <w:style w:type="character" w:customStyle="1" w:styleId="Heading7Char">
    <w:name w:val="Heading 7 Char"/>
    <w:link w:val="Heading7"/>
    <w:uiPriority w:val="9"/>
    <w:rsid w:val="006F163E"/>
    <w:rPr>
      <w:rFonts w:eastAsia="SimSun" w:cs="Times New Roman"/>
      <w:b/>
      <w:i/>
      <w:iCs/>
    </w:rPr>
  </w:style>
  <w:style w:type="character" w:customStyle="1" w:styleId="Heading8Char">
    <w:name w:val="Heading 8 Char"/>
    <w:link w:val="Heading8"/>
    <w:uiPriority w:val="9"/>
    <w:rsid w:val="006F163E"/>
    <w:rPr>
      <w:rFonts w:eastAsia="SimSun" w:cs="Times New Roman"/>
      <w:szCs w:val="20"/>
    </w:rPr>
  </w:style>
  <w:style w:type="character" w:customStyle="1" w:styleId="Heading9Char">
    <w:name w:val="Heading 9 Char"/>
    <w:link w:val="Heading9"/>
    <w:uiPriority w:val="9"/>
    <w:rsid w:val="006F163E"/>
    <w:rPr>
      <w:rFonts w:eastAsia="SimSun" w:cs="Times New Roman"/>
      <w:i/>
      <w:iCs/>
      <w:szCs w:val="20"/>
    </w:rPr>
  </w:style>
  <w:style w:type="character" w:styleId="IntenseReference">
    <w:name w:val="Intense Reference"/>
    <w:uiPriority w:val="32"/>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imes New Roman"/>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SimSun"/>
      <w:i/>
      <w:iCs/>
    </w:rPr>
  </w:style>
  <w:style w:type="character" w:styleId="PlaceholderText">
    <w:name w:val="Placeholder Text"/>
    <w:uiPriority w:val="99"/>
    <w:semiHidden/>
    <w:rsid w:val="00AD3173"/>
    <w:rPr>
      <w:color w:val="auto"/>
    </w:rPr>
  </w:style>
  <w:style w:type="paragraph" w:styleId="TOAHeading">
    <w:name w:val="toa heading"/>
    <w:basedOn w:val="Normal"/>
    <w:next w:val="Normal"/>
    <w:uiPriority w:val="99"/>
    <w:semiHidden/>
    <w:unhideWhenUsed/>
    <w:rsid w:val="00BF7C01"/>
    <w:rPr>
      <w:rFonts w:eastAsia="SimSun" w:cs="Times New Roman"/>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link w:val="BodyText3"/>
    <w:uiPriority w:val="99"/>
    <w:semiHidden/>
    <w:rsid w:val="00890E90"/>
    <w:rPr>
      <w:sz w:val="20"/>
      <w:szCs w:val="16"/>
    </w:rPr>
  </w:style>
  <w:style w:type="paragraph" w:styleId="BodyText">
    <w:name w:val="Body Text"/>
    <w:basedOn w:val="Normal"/>
    <w:link w:val="BodyTextChar"/>
    <w:uiPriority w:val="99"/>
    <w:unhideWhenUsed/>
    <w:rsid w:val="00890E90"/>
    <w:pPr>
      <w:spacing w:after="120"/>
    </w:pPr>
  </w:style>
  <w:style w:type="character" w:customStyle="1" w:styleId="BodyTextChar">
    <w:name w:val="Body Text Char"/>
    <w:basedOn w:val="DefaultParagraphFont"/>
    <w:link w:val="BodyText"/>
    <w:uiPriority w:val="99"/>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link w:val="EndnoteText"/>
    <w:uiPriority w:val="99"/>
    <w:rsid w:val="00B3772F"/>
    <w:rPr>
      <w:szCs w:val="20"/>
    </w:rPr>
  </w:style>
  <w:style w:type="character" w:styleId="Emphasis">
    <w:name w:val="Emphasis"/>
    <w:uiPriority w:val="20"/>
    <w:rsid w:val="00B3772F"/>
    <w:rPr>
      <w:i/>
      <w:iCs/>
    </w:rPr>
  </w:style>
  <w:style w:type="paragraph" w:styleId="EnvelopeReturn">
    <w:name w:val="envelope return"/>
    <w:basedOn w:val="Normal"/>
    <w:uiPriority w:val="99"/>
    <w:semiHidden/>
    <w:unhideWhenUsed/>
    <w:rsid w:val="00B3772F"/>
    <w:rPr>
      <w:rFonts w:eastAsia="SimSun" w:cs="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cs="Times New Roman"/>
    </w:rPr>
  </w:style>
  <w:style w:type="character" w:customStyle="1" w:styleId="MessageHeaderChar">
    <w:name w:val="Message Header Char"/>
    <w:link w:val="MessageHeader"/>
    <w:uiPriority w:val="99"/>
    <w:semiHidden/>
    <w:rsid w:val="003400F1"/>
    <w:rPr>
      <w:rFonts w:eastAsia="SimSun" w:cs="Times New Roman"/>
      <w:shd w:val="pct20" w:color="auto" w:fill="auto"/>
    </w:rPr>
  </w:style>
  <w:style w:type="paragraph" w:styleId="NoSpacing">
    <w:name w:val="No Spacing"/>
    <w:uiPriority w:val="1"/>
    <w:qFormat/>
    <w:rsid w:val="003400F1"/>
    <w:rPr>
      <w:sz w:val="24"/>
      <w:szCs w:val="24"/>
      <w:lang w:eastAsia="en-US"/>
    </w:r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SimSun" w:cs="Times New Roman"/>
      <w:b/>
      <w:bCs/>
    </w:rPr>
  </w:style>
  <w:style w:type="paragraph" w:styleId="Header">
    <w:name w:val="header"/>
    <w:basedOn w:val="Normal"/>
    <w:link w:val="HeaderChar"/>
    <w:uiPriority w:val="99"/>
    <w:unhideWhenUsed/>
    <w:rsid w:val="00346FC5"/>
    <w:pPr>
      <w:tabs>
        <w:tab w:val="center" w:pos="4513"/>
        <w:tab w:val="right" w:pos="9026"/>
      </w:tabs>
    </w:pPr>
  </w:style>
  <w:style w:type="character" w:customStyle="1" w:styleId="HeaderChar">
    <w:name w:val="Header Char"/>
    <w:basedOn w:val="DefaultParagraphFont"/>
    <w:link w:val="Header"/>
    <w:uiPriority w:val="99"/>
    <w:rsid w:val="00346FC5"/>
  </w:style>
  <w:style w:type="paragraph" w:styleId="Footer">
    <w:name w:val="footer"/>
    <w:basedOn w:val="Normal"/>
    <w:link w:val="FooterChar"/>
    <w:uiPriority w:val="99"/>
    <w:unhideWhenUsed/>
    <w:rsid w:val="00346FC5"/>
    <w:pPr>
      <w:tabs>
        <w:tab w:val="center" w:pos="4513"/>
        <w:tab w:val="right" w:pos="9026"/>
      </w:tabs>
    </w:pPr>
  </w:style>
  <w:style w:type="character" w:customStyle="1" w:styleId="FooterChar">
    <w:name w:val="Footer Char"/>
    <w:basedOn w:val="DefaultParagraphFont"/>
    <w:link w:val="Footer"/>
    <w:uiPriority w:val="99"/>
    <w:rsid w:val="00346FC5"/>
  </w:style>
  <w:style w:type="table" w:styleId="TableGrid">
    <w:name w:val="Table Grid"/>
    <w:basedOn w:val="TableNormal"/>
    <w:uiPriority w:val="59"/>
    <w:rsid w:val="0034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FC5"/>
    <w:rPr>
      <w:rFonts w:ascii="Tahoma" w:hAnsi="Tahoma" w:cs="Tahoma"/>
      <w:sz w:val="16"/>
      <w:szCs w:val="16"/>
    </w:rPr>
  </w:style>
  <w:style w:type="character" w:customStyle="1" w:styleId="BalloonTextChar">
    <w:name w:val="Balloon Text Char"/>
    <w:link w:val="BalloonText"/>
    <w:uiPriority w:val="99"/>
    <w:semiHidden/>
    <w:rsid w:val="00346FC5"/>
    <w:rPr>
      <w:rFonts w:ascii="Tahoma" w:hAnsi="Tahoma" w:cs="Tahoma"/>
      <w:sz w:val="16"/>
      <w:szCs w:val="16"/>
    </w:rPr>
  </w:style>
  <w:style w:type="character" w:styleId="CommentReference">
    <w:name w:val="annotation reference"/>
    <w:uiPriority w:val="99"/>
    <w:semiHidden/>
    <w:unhideWhenUsed/>
    <w:rsid w:val="00915E6B"/>
    <w:rPr>
      <w:sz w:val="16"/>
      <w:szCs w:val="16"/>
    </w:rPr>
  </w:style>
  <w:style w:type="paragraph" w:styleId="CommentText">
    <w:name w:val="annotation text"/>
    <w:basedOn w:val="Normal"/>
    <w:link w:val="CommentTextChar"/>
    <w:uiPriority w:val="99"/>
    <w:unhideWhenUsed/>
    <w:rsid w:val="00915E6B"/>
    <w:rPr>
      <w:sz w:val="20"/>
      <w:szCs w:val="20"/>
    </w:rPr>
  </w:style>
  <w:style w:type="character" w:customStyle="1" w:styleId="CommentTextChar">
    <w:name w:val="Comment Text Char"/>
    <w:link w:val="CommentText"/>
    <w:uiPriority w:val="99"/>
    <w:rsid w:val="00915E6B"/>
    <w:rPr>
      <w:sz w:val="20"/>
      <w:szCs w:val="20"/>
    </w:rPr>
  </w:style>
  <w:style w:type="paragraph" w:styleId="CommentSubject">
    <w:name w:val="annotation subject"/>
    <w:basedOn w:val="CommentText"/>
    <w:next w:val="CommentText"/>
    <w:link w:val="CommentSubjectChar"/>
    <w:uiPriority w:val="99"/>
    <w:semiHidden/>
    <w:unhideWhenUsed/>
    <w:rsid w:val="00915E6B"/>
    <w:rPr>
      <w:b/>
      <w:bCs/>
    </w:rPr>
  </w:style>
  <w:style w:type="character" w:customStyle="1" w:styleId="CommentSubjectChar">
    <w:name w:val="Comment Subject Char"/>
    <w:link w:val="CommentSubject"/>
    <w:uiPriority w:val="99"/>
    <w:semiHidden/>
    <w:rsid w:val="00915E6B"/>
    <w:rPr>
      <w:b/>
      <w:bCs/>
      <w:sz w:val="20"/>
      <w:szCs w:val="20"/>
    </w:rPr>
  </w:style>
  <w:style w:type="character" w:styleId="Hyperlink">
    <w:name w:val="Hyperlink"/>
    <w:uiPriority w:val="99"/>
    <w:unhideWhenUsed/>
    <w:rsid w:val="0013277C"/>
    <w:rPr>
      <w:color w:val="0000FF"/>
      <w:u w:val="single"/>
    </w:rPr>
  </w:style>
  <w:style w:type="paragraph" w:styleId="FootnoteText">
    <w:name w:val="footnote text"/>
    <w:basedOn w:val="Normal"/>
    <w:link w:val="FootnoteTextChar"/>
    <w:uiPriority w:val="99"/>
    <w:unhideWhenUsed/>
    <w:rsid w:val="0013277C"/>
    <w:rPr>
      <w:sz w:val="20"/>
      <w:szCs w:val="20"/>
    </w:rPr>
  </w:style>
  <w:style w:type="character" w:customStyle="1" w:styleId="FootnoteTextChar">
    <w:name w:val="Footnote Text Char"/>
    <w:link w:val="FootnoteText"/>
    <w:uiPriority w:val="99"/>
    <w:rsid w:val="0013277C"/>
    <w:rPr>
      <w:sz w:val="20"/>
      <w:szCs w:val="20"/>
    </w:rPr>
  </w:style>
  <w:style w:type="character" w:styleId="FootnoteReference">
    <w:name w:val="footnote reference"/>
    <w:uiPriority w:val="99"/>
    <w:semiHidden/>
    <w:unhideWhenUsed/>
    <w:rsid w:val="0013277C"/>
    <w:rPr>
      <w:vertAlign w:val="superscript"/>
    </w:rPr>
  </w:style>
  <w:style w:type="numbering" w:customStyle="1" w:styleId="Style1">
    <w:name w:val="Style1"/>
    <w:uiPriority w:val="99"/>
    <w:rsid w:val="00365193"/>
    <w:pPr>
      <w:numPr>
        <w:numId w:val="12"/>
      </w:numPr>
    </w:pPr>
  </w:style>
  <w:style w:type="character" w:styleId="FollowedHyperlink">
    <w:name w:val="FollowedHyperlink"/>
    <w:uiPriority w:val="99"/>
    <w:semiHidden/>
    <w:unhideWhenUsed/>
    <w:rsid w:val="000336BD"/>
    <w:rPr>
      <w:color w:val="800080"/>
      <w:u w:val="single"/>
    </w:rPr>
  </w:style>
  <w:style w:type="character" w:styleId="EndnoteReference">
    <w:name w:val="endnote reference"/>
    <w:uiPriority w:val="99"/>
    <w:semiHidden/>
    <w:unhideWhenUsed/>
    <w:rsid w:val="00DC521C"/>
    <w:rPr>
      <w:vertAlign w:val="superscript"/>
    </w:rPr>
  </w:style>
  <w:style w:type="paragraph" w:styleId="Revision">
    <w:name w:val="Revision"/>
    <w:hidden/>
    <w:uiPriority w:val="99"/>
    <w:semiHidden/>
    <w:rsid w:val="00AA6745"/>
    <w:rPr>
      <w:sz w:val="24"/>
      <w:szCs w:val="24"/>
      <w:lang w:eastAsia="en-US"/>
    </w:rPr>
  </w:style>
  <w:style w:type="paragraph" w:styleId="TOC1">
    <w:name w:val="toc 1"/>
    <w:basedOn w:val="Normal"/>
    <w:next w:val="Normal"/>
    <w:autoRedefine/>
    <w:uiPriority w:val="39"/>
    <w:unhideWhenUsed/>
    <w:rsid w:val="00CF028D"/>
    <w:pPr>
      <w:ind w:left="567" w:hanging="567"/>
    </w:pPr>
  </w:style>
  <w:style w:type="paragraph" w:styleId="TOC2">
    <w:name w:val="toc 2"/>
    <w:basedOn w:val="Normal"/>
    <w:next w:val="Normal"/>
    <w:autoRedefine/>
    <w:uiPriority w:val="39"/>
    <w:unhideWhenUsed/>
    <w:rsid w:val="00CF028D"/>
    <w:pPr>
      <w:tabs>
        <w:tab w:val="right" w:leader="dot" w:pos="9060"/>
      </w:tabs>
      <w:ind w:left="1134" w:hanging="567"/>
    </w:pPr>
  </w:style>
  <w:style w:type="paragraph" w:styleId="TOC3">
    <w:name w:val="toc 3"/>
    <w:basedOn w:val="Normal"/>
    <w:next w:val="Normal"/>
    <w:autoRedefine/>
    <w:uiPriority w:val="39"/>
    <w:unhideWhenUsed/>
    <w:rsid w:val="00CF028D"/>
    <w:pPr>
      <w:ind w:left="1985" w:hanging="851"/>
    </w:pPr>
  </w:style>
  <w:style w:type="paragraph" w:customStyle="1" w:styleId="Un-numberedsubheading">
    <w:name w:val="Un-numbered subheading"/>
    <w:basedOn w:val="BodyText"/>
    <w:link w:val="Un-numberedsubheadingChar"/>
    <w:qFormat/>
    <w:rsid w:val="00FF0B66"/>
    <w:rPr>
      <w:b/>
    </w:rPr>
  </w:style>
  <w:style w:type="paragraph" w:customStyle="1" w:styleId="Sourcereference">
    <w:name w:val="Source reference"/>
    <w:basedOn w:val="Normal"/>
    <w:link w:val="SourcereferenceChar"/>
    <w:qFormat/>
    <w:rsid w:val="00C54EA3"/>
    <w:rPr>
      <w:i/>
      <w:sz w:val="20"/>
    </w:rPr>
  </w:style>
  <w:style w:type="character" w:customStyle="1" w:styleId="Un-numberedsubheadingChar">
    <w:name w:val="Un-numbered subheading Char"/>
    <w:link w:val="Un-numberedsubheading"/>
    <w:rsid w:val="00FF0B66"/>
    <w:rPr>
      <w:b/>
    </w:rPr>
  </w:style>
  <w:style w:type="character" w:customStyle="1" w:styleId="SourcereferenceChar">
    <w:name w:val="Source reference Char"/>
    <w:link w:val="Sourcereference"/>
    <w:rsid w:val="00C54EA3"/>
    <w:rPr>
      <w:i/>
      <w:szCs w:val="24"/>
      <w:lang w:eastAsia="en-US"/>
    </w:rPr>
  </w:style>
  <w:style w:type="paragraph" w:styleId="ListParagraph">
    <w:name w:val="List Paragraph"/>
    <w:basedOn w:val="Normal"/>
    <w:uiPriority w:val="34"/>
    <w:qFormat/>
    <w:rsid w:val="00BC5855"/>
    <w:pPr>
      <w:ind w:left="720"/>
      <w:contextualSpacing/>
    </w:pPr>
  </w:style>
  <w:style w:type="character" w:styleId="Strong">
    <w:name w:val="Strong"/>
    <w:uiPriority w:val="22"/>
    <w:qFormat/>
    <w:rsid w:val="00AC678E"/>
    <w:rPr>
      <w:b/>
      <w:bCs/>
    </w:rPr>
  </w:style>
  <w:style w:type="character" w:customStyle="1" w:styleId="highlight">
    <w:name w:val="highlight"/>
    <w:basedOn w:val="DefaultParagraphFont"/>
    <w:rsid w:val="004F1064"/>
  </w:style>
  <w:style w:type="paragraph" w:customStyle="1" w:styleId="Default">
    <w:name w:val="Default"/>
    <w:rsid w:val="00667453"/>
    <w:pPr>
      <w:autoSpaceDE w:val="0"/>
      <w:autoSpaceDN w:val="0"/>
      <w:adjustRightInd w:val="0"/>
    </w:pPr>
    <w:rPr>
      <w:rFonts w:ascii="EUAlbertina" w:hAnsi="EUAlbertina" w:cs="EUAlbertina"/>
      <w:color w:val="000000"/>
      <w:sz w:val="24"/>
      <w:szCs w:val="24"/>
      <w:lang w:val="ro-RO" w:eastAsia="en-US"/>
    </w:rPr>
  </w:style>
  <w:style w:type="paragraph" w:styleId="HTMLPreformatted">
    <w:name w:val="HTML Preformatted"/>
    <w:basedOn w:val="Normal"/>
    <w:link w:val="HTMLPreformattedChar"/>
    <w:uiPriority w:val="99"/>
    <w:semiHidden/>
    <w:unhideWhenUsed/>
    <w:rsid w:val="00944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semiHidden/>
    <w:rsid w:val="009446F6"/>
    <w:rPr>
      <w:rFonts w:ascii="Courier New" w:eastAsia="Times New Roman" w:hAnsi="Courier New" w:cs="Courier New"/>
    </w:rPr>
  </w:style>
  <w:style w:type="character" w:customStyle="1" w:styleId="Meniune1">
    <w:name w:val="Mențiune1"/>
    <w:basedOn w:val="DefaultParagraphFont"/>
    <w:uiPriority w:val="99"/>
    <w:semiHidden/>
    <w:unhideWhenUsed/>
    <w:rsid w:val="00DD4419"/>
    <w:rPr>
      <w:color w:val="2B579A"/>
      <w:shd w:val="clear" w:color="auto" w:fill="E6E6E6"/>
    </w:rPr>
  </w:style>
  <w:style w:type="character" w:customStyle="1" w:styleId="UnresolvedMention1">
    <w:name w:val="Unresolved Mention1"/>
    <w:basedOn w:val="DefaultParagraphFont"/>
    <w:uiPriority w:val="99"/>
    <w:semiHidden/>
    <w:unhideWhenUsed/>
    <w:rsid w:val="00A6126E"/>
    <w:rPr>
      <w:color w:val="808080"/>
      <w:shd w:val="clear" w:color="auto" w:fill="E6E6E6"/>
    </w:rPr>
  </w:style>
  <w:style w:type="character" w:styleId="UnresolvedMention">
    <w:name w:val="Unresolved Mention"/>
    <w:basedOn w:val="DefaultParagraphFont"/>
    <w:uiPriority w:val="99"/>
    <w:semiHidden/>
    <w:unhideWhenUsed/>
    <w:rsid w:val="008868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669">
      <w:bodyDiv w:val="1"/>
      <w:marLeft w:val="0"/>
      <w:marRight w:val="0"/>
      <w:marTop w:val="0"/>
      <w:marBottom w:val="0"/>
      <w:divBdr>
        <w:top w:val="none" w:sz="0" w:space="0" w:color="auto"/>
        <w:left w:val="none" w:sz="0" w:space="0" w:color="auto"/>
        <w:bottom w:val="none" w:sz="0" w:space="0" w:color="auto"/>
        <w:right w:val="none" w:sz="0" w:space="0" w:color="auto"/>
      </w:divBdr>
    </w:div>
    <w:div w:id="54666895">
      <w:bodyDiv w:val="1"/>
      <w:marLeft w:val="0"/>
      <w:marRight w:val="0"/>
      <w:marTop w:val="0"/>
      <w:marBottom w:val="0"/>
      <w:divBdr>
        <w:top w:val="none" w:sz="0" w:space="0" w:color="auto"/>
        <w:left w:val="none" w:sz="0" w:space="0" w:color="auto"/>
        <w:bottom w:val="none" w:sz="0" w:space="0" w:color="auto"/>
        <w:right w:val="none" w:sz="0" w:space="0" w:color="auto"/>
      </w:divBdr>
      <w:divsChild>
        <w:div w:id="81875167">
          <w:marLeft w:val="0"/>
          <w:marRight w:val="0"/>
          <w:marTop w:val="0"/>
          <w:marBottom w:val="0"/>
          <w:divBdr>
            <w:top w:val="none" w:sz="0" w:space="0" w:color="auto"/>
            <w:left w:val="none" w:sz="0" w:space="0" w:color="auto"/>
            <w:bottom w:val="none" w:sz="0" w:space="0" w:color="auto"/>
            <w:right w:val="none" w:sz="0" w:space="0" w:color="auto"/>
          </w:divBdr>
        </w:div>
        <w:div w:id="225721242">
          <w:marLeft w:val="0"/>
          <w:marRight w:val="0"/>
          <w:marTop w:val="0"/>
          <w:marBottom w:val="0"/>
          <w:divBdr>
            <w:top w:val="none" w:sz="0" w:space="0" w:color="auto"/>
            <w:left w:val="none" w:sz="0" w:space="0" w:color="auto"/>
            <w:bottom w:val="none" w:sz="0" w:space="0" w:color="auto"/>
            <w:right w:val="none" w:sz="0" w:space="0" w:color="auto"/>
          </w:divBdr>
        </w:div>
        <w:div w:id="349644372">
          <w:marLeft w:val="0"/>
          <w:marRight w:val="0"/>
          <w:marTop w:val="0"/>
          <w:marBottom w:val="0"/>
          <w:divBdr>
            <w:top w:val="none" w:sz="0" w:space="0" w:color="auto"/>
            <w:left w:val="none" w:sz="0" w:space="0" w:color="auto"/>
            <w:bottom w:val="none" w:sz="0" w:space="0" w:color="auto"/>
            <w:right w:val="none" w:sz="0" w:space="0" w:color="auto"/>
          </w:divBdr>
        </w:div>
        <w:div w:id="427700473">
          <w:marLeft w:val="0"/>
          <w:marRight w:val="0"/>
          <w:marTop w:val="0"/>
          <w:marBottom w:val="0"/>
          <w:divBdr>
            <w:top w:val="none" w:sz="0" w:space="0" w:color="auto"/>
            <w:left w:val="none" w:sz="0" w:space="0" w:color="auto"/>
            <w:bottom w:val="none" w:sz="0" w:space="0" w:color="auto"/>
            <w:right w:val="none" w:sz="0" w:space="0" w:color="auto"/>
          </w:divBdr>
        </w:div>
        <w:div w:id="429089788">
          <w:marLeft w:val="0"/>
          <w:marRight w:val="0"/>
          <w:marTop w:val="0"/>
          <w:marBottom w:val="0"/>
          <w:divBdr>
            <w:top w:val="none" w:sz="0" w:space="0" w:color="auto"/>
            <w:left w:val="none" w:sz="0" w:space="0" w:color="auto"/>
            <w:bottom w:val="none" w:sz="0" w:space="0" w:color="auto"/>
            <w:right w:val="none" w:sz="0" w:space="0" w:color="auto"/>
          </w:divBdr>
        </w:div>
        <w:div w:id="710376552">
          <w:marLeft w:val="0"/>
          <w:marRight w:val="0"/>
          <w:marTop w:val="0"/>
          <w:marBottom w:val="0"/>
          <w:divBdr>
            <w:top w:val="none" w:sz="0" w:space="0" w:color="auto"/>
            <w:left w:val="none" w:sz="0" w:space="0" w:color="auto"/>
            <w:bottom w:val="none" w:sz="0" w:space="0" w:color="auto"/>
            <w:right w:val="none" w:sz="0" w:space="0" w:color="auto"/>
          </w:divBdr>
          <w:divsChild>
            <w:div w:id="517623871">
              <w:marLeft w:val="0"/>
              <w:marRight w:val="0"/>
              <w:marTop w:val="0"/>
              <w:marBottom w:val="0"/>
              <w:divBdr>
                <w:top w:val="none" w:sz="0" w:space="0" w:color="auto"/>
                <w:left w:val="none" w:sz="0" w:space="0" w:color="auto"/>
                <w:bottom w:val="none" w:sz="0" w:space="0" w:color="auto"/>
                <w:right w:val="none" w:sz="0" w:space="0" w:color="auto"/>
              </w:divBdr>
              <w:divsChild>
                <w:div w:id="11154405">
                  <w:marLeft w:val="0"/>
                  <w:marRight w:val="0"/>
                  <w:marTop w:val="0"/>
                  <w:marBottom w:val="0"/>
                  <w:divBdr>
                    <w:top w:val="none" w:sz="0" w:space="0" w:color="auto"/>
                    <w:left w:val="none" w:sz="0" w:space="0" w:color="auto"/>
                    <w:bottom w:val="none" w:sz="0" w:space="0" w:color="auto"/>
                    <w:right w:val="none" w:sz="0" w:space="0" w:color="auto"/>
                  </w:divBdr>
                </w:div>
                <w:div w:id="32118656">
                  <w:marLeft w:val="0"/>
                  <w:marRight w:val="0"/>
                  <w:marTop w:val="0"/>
                  <w:marBottom w:val="0"/>
                  <w:divBdr>
                    <w:top w:val="none" w:sz="0" w:space="0" w:color="auto"/>
                    <w:left w:val="none" w:sz="0" w:space="0" w:color="auto"/>
                    <w:bottom w:val="none" w:sz="0" w:space="0" w:color="auto"/>
                    <w:right w:val="none" w:sz="0" w:space="0" w:color="auto"/>
                  </w:divBdr>
                </w:div>
                <w:div w:id="341785780">
                  <w:marLeft w:val="0"/>
                  <w:marRight w:val="0"/>
                  <w:marTop w:val="0"/>
                  <w:marBottom w:val="0"/>
                  <w:divBdr>
                    <w:top w:val="none" w:sz="0" w:space="0" w:color="auto"/>
                    <w:left w:val="none" w:sz="0" w:space="0" w:color="auto"/>
                    <w:bottom w:val="none" w:sz="0" w:space="0" w:color="auto"/>
                    <w:right w:val="none" w:sz="0" w:space="0" w:color="auto"/>
                  </w:divBdr>
                </w:div>
                <w:div w:id="535122911">
                  <w:marLeft w:val="0"/>
                  <w:marRight w:val="0"/>
                  <w:marTop w:val="0"/>
                  <w:marBottom w:val="0"/>
                  <w:divBdr>
                    <w:top w:val="none" w:sz="0" w:space="0" w:color="auto"/>
                    <w:left w:val="none" w:sz="0" w:space="0" w:color="auto"/>
                    <w:bottom w:val="none" w:sz="0" w:space="0" w:color="auto"/>
                    <w:right w:val="none" w:sz="0" w:space="0" w:color="auto"/>
                  </w:divBdr>
                </w:div>
                <w:div w:id="567573243">
                  <w:marLeft w:val="0"/>
                  <w:marRight w:val="0"/>
                  <w:marTop w:val="0"/>
                  <w:marBottom w:val="0"/>
                  <w:divBdr>
                    <w:top w:val="none" w:sz="0" w:space="0" w:color="auto"/>
                    <w:left w:val="none" w:sz="0" w:space="0" w:color="auto"/>
                    <w:bottom w:val="none" w:sz="0" w:space="0" w:color="auto"/>
                    <w:right w:val="none" w:sz="0" w:space="0" w:color="auto"/>
                  </w:divBdr>
                </w:div>
                <w:div w:id="595361659">
                  <w:marLeft w:val="0"/>
                  <w:marRight w:val="0"/>
                  <w:marTop w:val="0"/>
                  <w:marBottom w:val="0"/>
                  <w:divBdr>
                    <w:top w:val="none" w:sz="0" w:space="0" w:color="auto"/>
                    <w:left w:val="none" w:sz="0" w:space="0" w:color="auto"/>
                    <w:bottom w:val="none" w:sz="0" w:space="0" w:color="auto"/>
                    <w:right w:val="none" w:sz="0" w:space="0" w:color="auto"/>
                  </w:divBdr>
                </w:div>
                <w:div w:id="596522759">
                  <w:marLeft w:val="0"/>
                  <w:marRight w:val="0"/>
                  <w:marTop w:val="0"/>
                  <w:marBottom w:val="0"/>
                  <w:divBdr>
                    <w:top w:val="none" w:sz="0" w:space="0" w:color="auto"/>
                    <w:left w:val="none" w:sz="0" w:space="0" w:color="auto"/>
                    <w:bottom w:val="none" w:sz="0" w:space="0" w:color="auto"/>
                    <w:right w:val="none" w:sz="0" w:space="0" w:color="auto"/>
                  </w:divBdr>
                </w:div>
                <w:div w:id="602494241">
                  <w:marLeft w:val="0"/>
                  <w:marRight w:val="0"/>
                  <w:marTop w:val="0"/>
                  <w:marBottom w:val="0"/>
                  <w:divBdr>
                    <w:top w:val="none" w:sz="0" w:space="0" w:color="auto"/>
                    <w:left w:val="none" w:sz="0" w:space="0" w:color="auto"/>
                    <w:bottom w:val="none" w:sz="0" w:space="0" w:color="auto"/>
                    <w:right w:val="none" w:sz="0" w:space="0" w:color="auto"/>
                  </w:divBdr>
                </w:div>
                <w:div w:id="705758803">
                  <w:marLeft w:val="0"/>
                  <w:marRight w:val="0"/>
                  <w:marTop w:val="0"/>
                  <w:marBottom w:val="0"/>
                  <w:divBdr>
                    <w:top w:val="none" w:sz="0" w:space="0" w:color="auto"/>
                    <w:left w:val="none" w:sz="0" w:space="0" w:color="auto"/>
                    <w:bottom w:val="none" w:sz="0" w:space="0" w:color="auto"/>
                    <w:right w:val="none" w:sz="0" w:space="0" w:color="auto"/>
                  </w:divBdr>
                </w:div>
                <w:div w:id="803429901">
                  <w:marLeft w:val="0"/>
                  <w:marRight w:val="0"/>
                  <w:marTop w:val="0"/>
                  <w:marBottom w:val="0"/>
                  <w:divBdr>
                    <w:top w:val="none" w:sz="0" w:space="0" w:color="auto"/>
                    <w:left w:val="none" w:sz="0" w:space="0" w:color="auto"/>
                    <w:bottom w:val="none" w:sz="0" w:space="0" w:color="auto"/>
                    <w:right w:val="none" w:sz="0" w:space="0" w:color="auto"/>
                  </w:divBdr>
                </w:div>
                <w:div w:id="875508982">
                  <w:marLeft w:val="0"/>
                  <w:marRight w:val="0"/>
                  <w:marTop w:val="0"/>
                  <w:marBottom w:val="0"/>
                  <w:divBdr>
                    <w:top w:val="none" w:sz="0" w:space="0" w:color="auto"/>
                    <w:left w:val="none" w:sz="0" w:space="0" w:color="auto"/>
                    <w:bottom w:val="none" w:sz="0" w:space="0" w:color="auto"/>
                    <w:right w:val="none" w:sz="0" w:space="0" w:color="auto"/>
                  </w:divBdr>
                </w:div>
                <w:div w:id="944338865">
                  <w:marLeft w:val="0"/>
                  <w:marRight w:val="0"/>
                  <w:marTop w:val="0"/>
                  <w:marBottom w:val="0"/>
                  <w:divBdr>
                    <w:top w:val="none" w:sz="0" w:space="0" w:color="auto"/>
                    <w:left w:val="none" w:sz="0" w:space="0" w:color="auto"/>
                    <w:bottom w:val="none" w:sz="0" w:space="0" w:color="auto"/>
                    <w:right w:val="none" w:sz="0" w:space="0" w:color="auto"/>
                  </w:divBdr>
                </w:div>
                <w:div w:id="987318499">
                  <w:marLeft w:val="0"/>
                  <w:marRight w:val="0"/>
                  <w:marTop w:val="0"/>
                  <w:marBottom w:val="0"/>
                  <w:divBdr>
                    <w:top w:val="none" w:sz="0" w:space="0" w:color="auto"/>
                    <w:left w:val="none" w:sz="0" w:space="0" w:color="auto"/>
                    <w:bottom w:val="none" w:sz="0" w:space="0" w:color="auto"/>
                    <w:right w:val="none" w:sz="0" w:space="0" w:color="auto"/>
                  </w:divBdr>
                </w:div>
                <w:div w:id="1092433976">
                  <w:marLeft w:val="0"/>
                  <w:marRight w:val="0"/>
                  <w:marTop w:val="0"/>
                  <w:marBottom w:val="0"/>
                  <w:divBdr>
                    <w:top w:val="none" w:sz="0" w:space="0" w:color="auto"/>
                    <w:left w:val="none" w:sz="0" w:space="0" w:color="auto"/>
                    <w:bottom w:val="none" w:sz="0" w:space="0" w:color="auto"/>
                    <w:right w:val="none" w:sz="0" w:space="0" w:color="auto"/>
                  </w:divBdr>
                </w:div>
                <w:div w:id="1192182610">
                  <w:marLeft w:val="0"/>
                  <w:marRight w:val="0"/>
                  <w:marTop w:val="0"/>
                  <w:marBottom w:val="0"/>
                  <w:divBdr>
                    <w:top w:val="none" w:sz="0" w:space="0" w:color="auto"/>
                    <w:left w:val="none" w:sz="0" w:space="0" w:color="auto"/>
                    <w:bottom w:val="none" w:sz="0" w:space="0" w:color="auto"/>
                    <w:right w:val="none" w:sz="0" w:space="0" w:color="auto"/>
                  </w:divBdr>
                </w:div>
                <w:div w:id="1232429396">
                  <w:marLeft w:val="0"/>
                  <w:marRight w:val="0"/>
                  <w:marTop w:val="0"/>
                  <w:marBottom w:val="0"/>
                  <w:divBdr>
                    <w:top w:val="none" w:sz="0" w:space="0" w:color="auto"/>
                    <w:left w:val="none" w:sz="0" w:space="0" w:color="auto"/>
                    <w:bottom w:val="none" w:sz="0" w:space="0" w:color="auto"/>
                    <w:right w:val="none" w:sz="0" w:space="0" w:color="auto"/>
                  </w:divBdr>
                </w:div>
                <w:div w:id="1249848494">
                  <w:marLeft w:val="0"/>
                  <w:marRight w:val="0"/>
                  <w:marTop w:val="0"/>
                  <w:marBottom w:val="0"/>
                  <w:divBdr>
                    <w:top w:val="none" w:sz="0" w:space="0" w:color="auto"/>
                    <w:left w:val="none" w:sz="0" w:space="0" w:color="auto"/>
                    <w:bottom w:val="none" w:sz="0" w:space="0" w:color="auto"/>
                    <w:right w:val="none" w:sz="0" w:space="0" w:color="auto"/>
                  </w:divBdr>
                </w:div>
                <w:div w:id="1273391933">
                  <w:marLeft w:val="0"/>
                  <w:marRight w:val="0"/>
                  <w:marTop w:val="0"/>
                  <w:marBottom w:val="0"/>
                  <w:divBdr>
                    <w:top w:val="none" w:sz="0" w:space="0" w:color="auto"/>
                    <w:left w:val="none" w:sz="0" w:space="0" w:color="auto"/>
                    <w:bottom w:val="none" w:sz="0" w:space="0" w:color="auto"/>
                    <w:right w:val="none" w:sz="0" w:space="0" w:color="auto"/>
                  </w:divBdr>
                </w:div>
                <w:div w:id="1425766055">
                  <w:marLeft w:val="0"/>
                  <w:marRight w:val="0"/>
                  <w:marTop w:val="0"/>
                  <w:marBottom w:val="0"/>
                  <w:divBdr>
                    <w:top w:val="none" w:sz="0" w:space="0" w:color="auto"/>
                    <w:left w:val="none" w:sz="0" w:space="0" w:color="auto"/>
                    <w:bottom w:val="none" w:sz="0" w:space="0" w:color="auto"/>
                    <w:right w:val="none" w:sz="0" w:space="0" w:color="auto"/>
                  </w:divBdr>
                </w:div>
                <w:div w:id="1541891567">
                  <w:marLeft w:val="0"/>
                  <w:marRight w:val="0"/>
                  <w:marTop w:val="0"/>
                  <w:marBottom w:val="0"/>
                  <w:divBdr>
                    <w:top w:val="none" w:sz="0" w:space="0" w:color="auto"/>
                    <w:left w:val="none" w:sz="0" w:space="0" w:color="auto"/>
                    <w:bottom w:val="none" w:sz="0" w:space="0" w:color="auto"/>
                    <w:right w:val="none" w:sz="0" w:space="0" w:color="auto"/>
                  </w:divBdr>
                </w:div>
                <w:div w:id="1559435303">
                  <w:marLeft w:val="0"/>
                  <w:marRight w:val="0"/>
                  <w:marTop w:val="0"/>
                  <w:marBottom w:val="0"/>
                  <w:divBdr>
                    <w:top w:val="none" w:sz="0" w:space="0" w:color="auto"/>
                    <w:left w:val="none" w:sz="0" w:space="0" w:color="auto"/>
                    <w:bottom w:val="none" w:sz="0" w:space="0" w:color="auto"/>
                    <w:right w:val="none" w:sz="0" w:space="0" w:color="auto"/>
                  </w:divBdr>
                </w:div>
                <w:div w:id="1679648850">
                  <w:marLeft w:val="0"/>
                  <w:marRight w:val="0"/>
                  <w:marTop w:val="0"/>
                  <w:marBottom w:val="0"/>
                  <w:divBdr>
                    <w:top w:val="none" w:sz="0" w:space="0" w:color="auto"/>
                    <w:left w:val="none" w:sz="0" w:space="0" w:color="auto"/>
                    <w:bottom w:val="none" w:sz="0" w:space="0" w:color="auto"/>
                    <w:right w:val="none" w:sz="0" w:space="0" w:color="auto"/>
                  </w:divBdr>
                </w:div>
                <w:div w:id="1707171451">
                  <w:marLeft w:val="0"/>
                  <w:marRight w:val="0"/>
                  <w:marTop w:val="0"/>
                  <w:marBottom w:val="0"/>
                  <w:divBdr>
                    <w:top w:val="none" w:sz="0" w:space="0" w:color="auto"/>
                    <w:left w:val="none" w:sz="0" w:space="0" w:color="auto"/>
                    <w:bottom w:val="none" w:sz="0" w:space="0" w:color="auto"/>
                    <w:right w:val="none" w:sz="0" w:space="0" w:color="auto"/>
                  </w:divBdr>
                </w:div>
                <w:div w:id="2033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0577">
          <w:marLeft w:val="0"/>
          <w:marRight w:val="0"/>
          <w:marTop w:val="0"/>
          <w:marBottom w:val="0"/>
          <w:divBdr>
            <w:top w:val="none" w:sz="0" w:space="0" w:color="auto"/>
            <w:left w:val="none" w:sz="0" w:space="0" w:color="auto"/>
            <w:bottom w:val="none" w:sz="0" w:space="0" w:color="auto"/>
            <w:right w:val="none" w:sz="0" w:space="0" w:color="auto"/>
          </w:divBdr>
        </w:div>
        <w:div w:id="1271275966">
          <w:marLeft w:val="0"/>
          <w:marRight w:val="0"/>
          <w:marTop w:val="0"/>
          <w:marBottom w:val="0"/>
          <w:divBdr>
            <w:top w:val="none" w:sz="0" w:space="0" w:color="auto"/>
            <w:left w:val="none" w:sz="0" w:space="0" w:color="auto"/>
            <w:bottom w:val="none" w:sz="0" w:space="0" w:color="auto"/>
            <w:right w:val="none" w:sz="0" w:space="0" w:color="auto"/>
          </w:divBdr>
        </w:div>
        <w:div w:id="1278872273">
          <w:marLeft w:val="0"/>
          <w:marRight w:val="0"/>
          <w:marTop w:val="0"/>
          <w:marBottom w:val="0"/>
          <w:divBdr>
            <w:top w:val="none" w:sz="0" w:space="0" w:color="auto"/>
            <w:left w:val="none" w:sz="0" w:space="0" w:color="auto"/>
            <w:bottom w:val="none" w:sz="0" w:space="0" w:color="auto"/>
            <w:right w:val="none" w:sz="0" w:space="0" w:color="auto"/>
          </w:divBdr>
        </w:div>
        <w:div w:id="1477606267">
          <w:marLeft w:val="0"/>
          <w:marRight w:val="0"/>
          <w:marTop w:val="0"/>
          <w:marBottom w:val="0"/>
          <w:divBdr>
            <w:top w:val="none" w:sz="0" w:space="0" w:color="auto"/>
            <w:left w:val="none" w:sz="0" w:space="0" w:color="auto"/>
            <w:bottom w:val="none" w:sz="0" w:space="0" w:color="auto"/>
            <w:right w:val="none" w:sz="0" w:space="0" w:color="auto"/>
          </w:divBdr>
        </w:div>
      </w:divsChild>
    </w:div>
    <w:div w:id="230773298">
      <w:bodyDiv w:val="1"/>
      <w:marLeft w:val="0"/>
      <w:marRight w:val="0"/>
      <w:marTop w:val="0"/>
      <w:marBottom w:val="0"/>
      <w:divBdr>
        <w:top w:val="none" w:sz="0" w:space="0" w:color="auto"/>
        <w:left w:val="none" w:sz="0" w:space="0" w:color="auto"/>
        <w:bottom w:val="none" w:sz="0" w:space="0" w:color="auto"/>
        <w:right w:val="none" w:sz="0" w:space="0" w:color="auto"/>
      </w:divBdr>
    </w:div>
    <w:div w:id="544875608">
      <w:bodyDiv w:val="1"/>
      <w:marLeft w:val="0"/>
      <w:marRight w:val="0"/>
      <w:marTop w:val="0"/>
      <w:marBottom w:val="0"/>
      <w:divBdr>
        <w:top w:val="none" w:sz="0" w:space="0" w:color="auto"/>
        <w:left w:val="none" w:sz="0" w:space="0" w:color="auto"/>
        <w:bottom w:val="none" w:sz="0" w:space="0" w:color="auto"/>
        <w:right w:val="none" w:sz="0" w:space="0" w:color="auto"/>
      </w:divBdr>
    </w:div>
    <w:div w:id="631181053">
      <w:bodyDiv w:val="1"/>
      <w:marLeft w:val="0"/>
      <w:marRight w:val="0"/>
      <w:marTop w:val="1590"/>
      <w:marBottom w:val="0"/>
      <w:divBdr>
        <w:top w:val="none" w:sz="0" w:space="0" w:color="auto"/>
        <w:left w:val="none" w:sz="0" w:space="0" w:color="auto"/>
        <w:bottom w:val="none" w:sz="0" w:space="0" w:color="auto"/>
        <w:right w:val="none" w:sz="0" w:space="0" w:color="auto"/>
      </w:divBdr>
      <w:divsChild>
        <w:div w:id="1362899265">
          <w:marLeft w:val="0"/>
          <w:marRight w:val="0"/>
          <w:marTop w:val="0"/>
          <w:marBottom w:val="0"/>
          <w:divBdr>
            <w:top w:val="none" w:sz="0" w:space="0" w:color="auto"/>
            <w:left w:val="none" w:sz="0" w:space="0" w:color="auto"/>
            <w:bottom w:val="none" w:sz="0" w:space="0" w:color="auto"/>
            <w:right w:val="none" w:sz="0" w:space="0" w:color="auto"/>
          </w:divBdr>
          <w:divsChild>
            <w:div w:id="1489589950">
              <w:marLeft w:val="0"/>
              <w:marRight w:val="0"/>
              <w:marTop w:val="105"/>
              <w:marBottom w:val="0"/>
              <w:divBdr>
                <w:top w:val="none" w:sz="0" w:space="0" w:color="auto"/>
                <w:left w:val="none" w:sz="0" w:space="0" w:color="auto"/>
                <w:bottom w:val="none" w:sz="0" w:space="0" w:color="auto"/>
                <w:right w:val="none" w:sz="0" w:space="0" w:color="auto"/>
              </w:divBdr>
              <w:divsChild>
                <w:div w:id="242226723">
                  <w:marLeft w:val="0"/>
                  <w:marRight w:val="0"/>
                  <w:marTop w:val="0"/>
                  <w:marBottom w:val="0"/>
                  <w:divBdr>
                    <w:top w:val="none" w:sz="0" w:space="0" w:color="auto"/>
                    <w:left w:val="none" w:sz="0" w:space="0" w:color="auto"/>
                    <w:bottom w:val="none" w:sz="0" w:space="0" w:color="auto"/>
                    <w:right w:val="none" w:sz="0" w:space="0" w:color="auto"/>
                  </w:divBdr>
                  <w:divsChild>
                    <w:div w:id="115490677">
                      <w:marLeft w:val="0"/>
                      <w:marRight w:val="0"/>
                      <w:marTop w:val="0"/>
                      <w:marBottom w:val="0"/>
                      <w:divBdr>
                        <w:top w:val="none" w:sz="0" w:space="0" w:color="auto"/>
                        <w:left w:val="none" w:sz="0" w:space="0" w:color="auto"/>
                        <w:bottom w:val="none" w:sz="0" w:space="0" w:color="auto"/>
                        <w:right w:val="none" w:sz="0" w:space="0" w:color="auto"/>
                      </w:divBdr>
                      <w:divsChild>
                        <w:div w:id="7637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301003">
      <w:bodyDiv w:val="1"/>
      <w:marLeft w:val="0"/>
      <w:marRight w:val="0"/>
      <w:marTop w:val="0"/>
      <w:marBottom w:val="0"/>
      <w:divBdr>
        <w:top w:val="none" w:sz="0" w:space="0" w:color="auto"/>
        <w:left w:val="none" w:sz="0" w:space="0" w:color="auto"/>
        <w:bottom w:val="none" w:sz="0" w:space="0" w:color="auto"/>
        <w:right w:val="none" w:sz="0" w:space="0" w:color="auto"/>
      </w:divBdr>
      <w:divsChild>
        <w:div w:id="93284543">
          <w:marLeft w:val="0"/>
          <w:marRight w:val="0"/>
          <w:marTop w:val="0"/>
          <w:marBottom w:val="0"/>
          <w:divBdr>
            <w:top w:val="none" w:sz="0" w:space="0" w:color="auto"/>
            <w:left w:val="none" w:sz="0" w:space="0" w:color="auto"/>
            <w:bottom w:val="none" w:sz="0" w:space="0" w:color="auto"/>
            <w:right w:val="none" w:sz="0" w:space="0" w:color="auto"/>
          </w:divBdr>
        </w:div>
        <w:div w:id="202913765">
          <w:marLeft w:val="0"/>
          <w:marRight w:val="0"/>
          <w:marTop w:val="0"/>
          <w:marBottom w:val="0"/>
          <w:divBdr>
            <w:top w:val="none" w:sz="0" w:space="0" w:color="auto"/>
            <w:left w:val="none" w:sz="0" w:space="0" w:color="auto"/>
            <w:bottom w:val="none" w:sz="0" w:space="0" w:color="auto"/>
            <w:right w:val="none" w:sz="0" w:space="0" w:color="auto"/>
          </w:divBdr>
        </w:div>
        <w:div w:id="209659090">
          <w:marLeft w:val="0"/>
          <w:marRight w:val="0"/>
          <w:marTop w:val="0"/>
          <w:marBottom w:val="0"/>
          <w:divBdr>
            <w:top w:val="none" w:sz="0" w:space="0" w:color="auto"/>
            <w:left w:val="none" w:sz="0" w:space="0" w:color="auto"/>
            <w:bottom w:val="none" w:sz="0" w:space="0" w:color="auto"/>
            <w:right w:val="none" w:sz="0" w:space="0" w:color="auto"/>
          </w:divBdr>
        </w:div>
        <w:div w:id="227619577">
          <w:marLeft w:val="0"/>
          <w:marRight w:val="0"/>
          <w:marTop w:val="0"/>
          <w:marBottom w:val="0"/>
          <w:divBdr>
            <w:top w:val="none" w:sz="0" w:space="0" w:color="auto"/>
            <w:left w:val="none" w:sz="0" w:space="0" w:color="auto"/>
            <w:bottom w:val="none" w:sz="0" w:space="0" w:color="auto"/>
            <w:right w:val="none" w:sz="0" w:space="0" w:color="auto"/>
          </w:divBdr>
        </w:div>
        <w:div w:id="247546175">
          <w:marLeft w:val="0"/>
          <w:marRight w:val="0"/>
          <w:marTop w:val="0"/>
          <w:marBottom w:val="0"/>
          <w:divBdr>
            <w:top w:val="none" w:sz="0" w:space="0" w:color="auto"/>
            <w:left w:val="none" w:sz="0" w:space="0" w:color="auto"/>
            <w:bottom w:val="none" w:sz="0" w:space="0" w:color="auto"/>
            <w:right w:val="none" w:sz="0" w:space="0" w:color="auto"/>
          </w:divBdr>
        </w:div>
        <w:div w:id="269898592">
          <w:marLeft w:val="0"/>
          <w:marRight w:val="0"/>
          <w:marTop w:val="0"/>
          <w:marBottom w:val="0"/>
          <w:divBdr>
            <w:top w:val="none" w:sz="0" w:space="0" w:color="auto"/>
            <w:left w:val="none" w:sz="0" w:space="0" w:color="auto"/>
            <w:bottom w:val="none" w:sz="0" w:space="0" w:color="auto"/>
            <w:right w:val="none" w:sz="0" w:space="0" w:color="auto"/>
          </w:divBdr>
        </w:div>
        <w:div w:id="307789193">
          <w:marLeft w:val="0"/>
          <w:marRight w:val="0"/>
          <w:marTop w:val="0"/>
          <w:marBottom w:val="0"/>
          <w:divBdr>
            <w:top w:val="none" w:sz="0" w:space="0" w:color="auto"/>
            <w:left w:val="none" w:sz="0" w:space="0" w:color="auto"/>
            <w:bottom w:val="none" w:sz="0" w:space="0" w:color="auto"/>
            <w:right w:val="none" w:sz="0" w:space="0" w:color="auto"/>
          </w:divBdr>
        </w:div>
        <w:div w:id="323706127">
          <w:marLeft w:val="0"/>
          <w:marRight w:val="0"/>
          <w:marTop w:val="0"/>
          <w:marBottom w:val="0"/>
          <w:divBdr>
            <w:top w:val="none" w:sz="0" w:space="0" w:color="auto"/>
            <w:left w:val="none" w:sz="0" w:space="0" w:color="auto"/>
            <w:bottom w:val="none" w:sz="0" w:space="0" w:color="auto"/>
            <w:right w:val="none" w:sz="0" w:space="0" w:color="auto"/>
          </w:divBdr>
        </w:div>
        <w:div w:id="346905305">
          <w:marLeft w:val="0"/>
          <w:marRight w:val="0"/>
          <w:marTop w:val="0"/>
          <w:marBottom w:val="0"/>
          <w:divBdr>
            <w:top w:val="none" w:sz="0" w:space="0" w:color="auto"/>
            <w:left w:val="none" w:sz="0" w:space="0" w:color="auto"/>
            <w:bottom w:val="none" w:sz="0" w:space="0" w:color="auto"/>
            <w:right w:val="none" w:sz="0" w:space="0" w:color="auto"/>
          </w:divBdr>
        </w:div>
        <w:div w:id="423035947">
          <w:marLeft w:val="0"/>
          <w:marRight w:val="0"/>
          <w:marTop w:val="0"/>
          <w:marBottom w:val="0"/>
          <w:divBdr>
            <w:top w:val="none" w:sz="0" w:space="0" w:color="auto"/>
            <w:left w:val="none" w:sz="0" w:space="0" w:color="auto"/>
            <w:bottom w:val="none" w:sz="0" w:space="0" w:color="auto"/>
            <w:right w:val="none" w:sz="0" w:space="0" w:color="auto"/>
          </w:divBdr>
        </w:div>
        <w:div w:id="640158520">
          <w:marLeft w:val="0"/>
          <w:marRight w:val="0"/>
          <w:marTop w:val="0"/>
          <w:marBottom w:val="0"/>
          <w:divBdr>
            <w:top w:val="none" w:sz="0" w:space="0" w:color="auto"/>
            <w:left w:val="none" w:sz="0" w:space="0" w:color="auto"/>
            <w:bottom w:val="none" w:sz="0" w:space="0" w:color="auto"/>
            <w:right w:val="none" w:sz="0" w:space="0" w:color="auto"/>
          </w:divBdr>
        </w:div>
        <w:div w:id="704252259">
          <w:marLeft w:val="0"/>
          <w:marRight w:val="0"/>
          <w:marTop w:val="0"/>
          <w:marBottom w:val="0"/>
          <w:divBdr>
            <w:top w:val="none" w:sz="0" w:space="0" w:color="auto"/>
            <w:left w:val="none" w:sz="0" w:space="0" w:color="auto"/>
            <w:bottom w:val="none" w:sz="0" w:space="0" w:color="auto"/>
            <w:right w:val="none" w:sz="0" w:space="0" w:color="auto"/>
          </w:divBdr>
        </w:div>
        <w:div w:id="714348845">
          <w:marLeft w:val="0"/>
          <w:marRight w:val="0"/>
          <w:marTop w:val="0"/>
          <w:marBottom w:val="0"/>
          <w:divBdr>
            <w:top w:val="none" w:sz="0" w:space="0" w:color="auto"/>
            <w:left w:val="none" w:sz="0" w:space="0" w:color="auto"/>
            <w:bottom w:val="none" w:sz="0" w:space="0" w:color="auto"/>
            <w:right w:val="none" w:sz="0" w:space="0" w:color="auto"/>
          </w:divBdr>
        </w:div>
        <w:div w:id="728654345">
          <w:marLeft w:val="0"/>
          <w:marRight w:val="0"/>
          <w:marTop w:val="0"/>
          <w:marBottom w:val="0"/>
          <w:divBdr>
            <w:top w:val="none" w:sz="0" w:space="0" w:color="auto"/>
            <w:left w:val="none" w:sz="0" w:space="0" w:color="auto"/>
            <w:bottom w:val="none" w:sz="0" w:space="0" w:color="auto"/>
            <w:right w:val="none" w:sz="0" w:space="0" w:color="auto"/>
          </w:divBdr>
        </w:div>
        <w:div w:id="861939156">
          <w:marLeft w:val="0"/>
          <w:marRight w:val="0"/>
          <w:marTop w:val="0"/>
          <w:marBottom w:val="0"/>
          <w:divBdr>
            <w:top w:val="none" w:sz="0" w:space="0" w:color="auto"/>
            <w:left w:val="none" w:sz="0" w:space="0" w:color="auto"/>
            <w:bottom w:val="none" w:sz="0" w:space="0" w:color="auto"/>
            <w:right w:val="none" w:sz="0" w:space="0" w:color="auto"/>
          </w:divBdr>
        </w:div>
        <w:div w:id="887565836">
          <w:marLeft w:val="0"/>
          <w:marRight w:val="0"/>
          <w:marTop w:val="0"/>
          <w:marBottom w:val="0"/>
          <w:divBdr>
            <w:top w:val="none" w:sz="0" w:space="0" w:color="auto"/>
            <w:left w:val="none" w:sz="0" w:space="0" w:color="auto"/>
            <w:bottom w:val="none" w:sz="0" w:space="0" w:color="auto"/>
            <w:right w:val="none" w:sz="0" w:space="0" w:color="auto"/>
          </w:divBdr>
        </w:div>
        <w:div w:id="986401094">
          <w:marLeft w:val="0"/>
          <w:marRight w:val="0"/>
          <w:marTop w:val="0"/>
          <w:marBottom w:val="0"/>
          <w:divBdr>
            <w:top w:val="none" w:sz="0" w:space="0" w:color="auto"/>
            <w:left w:val="none" w:sz="0" w:space="0" w:color="auto"/>
            <w:bottom w:val="none" w:sz="0" w:space="0" w:color="auto"/>
            <w:right w:val="none" w:sz="0" w:space="0" w:color="auto"/>
          </w:divBdr>
        </w:div>
        <w:div w:id="992756866">
          <w:marLeft w:val="0"/>
          <w:marRight w:val="0"/>
          <w:marTop w:val="0"/>
          <w:marBottom w:val="0"/>
          <w:divBdr>
            <w:top w:val="none" w:sz="0" w:space="0" w:color="auto"/>
            <w:left w:val="none" w:sz="0" w:space="0" w:color="auto"/>
            <w:bottom w:val="none" w:sz="0" w:space="0" w:color="auto"/>
            <w:right w:val="none" w:sz="0" w:space="0" w:color="auto"/>
          </w:divBdr>
        </w:div>
        <w:div w:id="992837284">
          <w:marLeft w:val="0"/>
          <w:marRight w:val="0"/>
          <w:marTop w:val="0"/>
          <w:marBottom w:val="0"/>
          <w:divBdr>
            <w:top w:val="none" w:sz="0" w:space="0" w:color="auto"/>
            <w:left w:val="none" w:sz="0" w:space="0" w:color="auto"/>
            <w:bottom w:val="none" w:sz="0" w:space="0" w:color="auto"/>
            <w:right w:val="none" w:sz="0" w:space="0" w:color="auto"/>
          </w:divBdr>
        </w:div>
        <w:div w:id="1013536499">
          <w:marLeft w:val="0"/>
          <w:marRight w:val="0"/>
          <w:marTop w:val="0"/>
          <w:marBottom w:val="0"/>
          <w:divBdr>
            <w:top w:val="none" w:sz="0" w:space="0" w:color="auto"/>
            <w:left w:val="none" w:sz="0" w:space="0" w:color="auto"/>
            <w:bottom w:val="none" w:sz="0" w:space="0" w:color="auto"/>
            <w:right w:val="none" w:sz="0" w:space="0" w:color="auto"/>
          </w:divBdr>
        </w:div>
        <w:div w:id="1481533377">
          <w:marLeft w:val="0"/>
          <w:marRight w:val="0"/>
          <w:marTop w:val="0"/>
          <w:marBottom w:val="0"/>
          <w:divBdr>
            <w:top w:val="none" w:sz="0" w:space="0" w:color="auto"/>
            <w:left w:val="none" w:sz="0" w:space="0" w:color="auto"/>
            <w:bottom w:val="none" w:sz="0" w:space="0" w:color="auto"/>
            <w:right w:val="none" w:sz="0" w:space="0" w:color="auto"/>
          </w:divBdr>
        </w:div>
        <w:div w:id="1534078328">
          <w:marLeft w:val="0"/>
          <w:marRight w:val="0"/>
          <w:marTop w:val="0"/>
          <w:marBottom w:val="0"/>
          <w:divBdr>
            <w:top w:val="none" w:sz="0" w:space="0" w:color="auto"/>
            <w:left w:val="none" w:sz="0" w:space="0" w:color="auto"/>
            <w:bottom w:val="none" w:sz="0" w:space="0" w:color="auto"/>
            <w:right w:val="none" w:sz="0" w:space="0" w:color="auto"/>
          </w:divBdr>
        </w:div>
        <w:div w:id="1552813374">
          <w:marLeft w:val="0"/>
          <w:marRight w:val="0"/>
          <w:marTop w:val="0"/>
          <w:marBottom w:val="0"/>
          <w:divBdr>
            <w:top w:val="none" w:sz="0" w:space="0" w:color="auto"/>
            <w:left w:val="none" w:sz="0" w:space="0" w:color="auto"/>
            <w:bottom w:val="none" w:sz="0" w:space="0" w:color="auto"/>
            <w:right w:val="none" w:sz="0" w:space="0" w:color="auto"/>
          </w:divBdr>
        </w:div>
        <w:div w:id="1664776878">
          <w:marLeft w:val="0"/>
          <w:marRight w:val="0"/>
          <w:marTop w:val="0"/>
          <w:marBottom w:val="0"/>
          <w:divBdr>
            <w:top w:val="none" w:sz="0" w:space="0" w:color="auto"/>
            <w:left w:val="none" w:sz="0" w:space="0" w:color="auto"/>
            <w:bottom w:val="none" w:sz="0" w:space="0" w:color="auto"/>
            <w:right w:val="none" w:sz="0" w:space="0" w:color="auto"/>
          </w:divBdr>
        </w:div>
        <w:div w:id="1685934780">
          <w:marLeft w:val="0"/>
          <w:marRight w:val="0"/>
          <w:marTop w:val="0"/>
          <w:marBottom w:val="0"/>
          <w:divBdr>
            <w:top w:val="none" w:sz="0" w:space="0" w:color="auto"/>
            <w:left w:val="none" w:sz="0" w:space="0" w:color="auto"/>
            <w:bottom w:val="none" w:sz="0" w:space="0" w:color="auto"/>
            <w:right w:val="none" w:sz="0" w:space="0" w:color="auto"/>
          </w:divBdr>
        </w:div>
        <w:div w:id="1868638963">
          <w:marLeft w:val="0"/>
          <w:marRight w:val="0"/>
          <w:marTop w:val="0"/>
          <w:marBottom w:val="0"/>
          <w:divBdr>
            <w:top w:val="none" w:sz="0" w:space="0" w:color="auto"/>
            <w:left w:val="none" w:sz="0" w:space="0" w:color="auto"/>
            <w:bottom w:val="none" w:sz="0" w:space="0" w:color="auto"/>
            <w:right w:val="none" w:sz="0" w:space="0" w:color="auto"/>
          </w:divBdr>
        </w:div>
        <w:div w:id="1873954625">
          <w:marLeft w:val="0"/>
          <w:marRight w:val="0"/>
          <w:marTop w:val="0"/>
          <w:marBottom w:val="0"/>
          <w:divBdr>
            <w:top w:val="none" w:sz="0" w:space="0" w:color="auto"/>
            <w:left w:val="none" w:sz="0" w:space="0" w:color="auto"/>
            <w:bottom w:val="none" w:sz="0" w:space="0" w:color="auto"/>
            <w:right w:val="none" w:sz="0" w:space="0" w:color="auto"/>
          </w:divBdr>
        </w:div>
        <w:div w:id="1907253362">
          <w:marLeft w:val="0"/>
          <w:marRight w:val="0"/>
          <w:marTop w:val="0"/>
          <w:marBottom w:val="0"/>
          <w:divBdr>
            <w:top w:val="none" w:sz="0" w:space="0" w:color="auto"/>
            <w:left w:val="none" w:sz="0" w:space="0" w:color="auto"/>
            <w:bottom w:val="none" w:sz="0" w:space="0" w:color="auto"/>
            <w:right w:val="none" w:sz="0" w:space="0" w:color="auto"/>
          </w:divBdr>
        </w:div>
        <w:div w:id="1958248113">
          <w:marLeft w:val="0"/>
          <w:marRight w:val="0"/>
          <w:marTop w:val="0"/>
          <w:marBottom w:val="0"/>
          <w:divBdr>
            <w:top w:val="none" w:sz="0" w:space="0" w:color="auto"/>
            <w:left w:val="none" w:sz="0" w:space="0" w:color="auto"/>
            <w:bottom w:val="none" w:sz="0" w:space="0" w:color="auto"/>
            <w:right w:val="none" w:sz="0" w:space="0" w:color="auto"/>
          </w:divBdr>
        </w:div>
        <w:div w:id="1971979035">
          <w:marLeft w:val="0"/>
          <w:marRight w:val="0"/>
          <w:marTop w:val="0"/>
          <w:marBottom w:val="0"/>
          <w:divBdr>
            <w:top w:val="none" w:sz="0" w:space="0" w:color="auto"/>
            <w:left w:val="none" w:sz="0" w:space="0" w:color="auto"/>
            <w:bottom w:val="none" w:sz="0" w:space="0" w:color="auto"/>
            <w:right w:val="none" w:sz="0" w:space="0" w:color="auto"/>
          </w:divBdr>
        </w:div>
        <w:div w:id="1983461303">
          <w:marLeft w:val="0"/>
          <w:marRight w:val="0"/>
          <w:marTop w:val="0"/>
          <w:marBottom w:val="0"/>
          <w:divBdr>
            <w:top w:val="none" w:sz="0" w:space="0" w:color="auto"/>
            <w:left w:val="none" w:sz="0" w:space="0" w:color="auto"/>
            <w:bottom w:val="none" w:sz="0" w:space="0" w:color="auto"/>
            <w:right w:val="none" w:sz="0" w:space="0" w:color="auto"/>
          </w:divBdr>
        </w:div>
      </w:divsChild>
    </w:div>
    <w:div w:id="680549038">
      <w:bodyDiv w:val="1"/>
      <w:marLeft w:val="0"/>
      <w:marRight w:val="0"/>
      <w:marTop w:val="0"/>
      <w:marBottom w:val="0"/>
      <w:divBdr>
        <w:top w:val="none" w:sz="0" w:space="0" w:color="auto"/>
        <w:left w:val="none" w:sz="0" w:space="0" w:color="auto"/>
        <w:bottom w:val="none" w:sz="0" w:space="0" w:color="auto"/>
        <w:right w:val="none" w:sz="0" w:space="0" w:color="auto"/>
      </w:divBdr>
      <w:divsChild>
        <w:div w:id="22485590">
          <w:marLeft w:val="75"/>
          <w:marRight w:val="0"/>
          <w:marTop w:val="0"/>
          <w:marBottom w:val="0"/>
          <w:divBdr>
            <w:top w:val="none" w:sz="0" w:space="0" w:color="auto"/>
            <w:left w:val="none" w:sz="0" w:space="0" w:color="auto"/>
            <w:bottom w:val="none" w:sz="0" w:space="0" w:color="auto"/>
            <w:right w:val="none" w:sz="0" w:space="0" w:color="auto"/>
          </w:divBdr>
          <w:divsChild>
            <w:div w:id="998265094">
              <w:marLeft w:val="0"/>
              <w:marRight w:val="0"/>
              <w:marTop w:val="0"/>
              <w:marBottom w:val="0"/>
              <w:divBdr>
                <w:top w:val="none" w:sz="0" w:space="0" w:color="auto"/>
                <w:left w:val="none" w:sz="0" w:space="0" w:color="auto"/>
                <w:bottom w:val="none" w:sz="0" w:space="0" w:color="auto"/>
                <w:right w:val="none" w:sz="0" w:space="0" w:color="auto"/>
              </w:divBdr>
            </w:div>
            <w:div w:id="1746369755">
              <w:marLeft w:val="0"/>
              <w:marRight w:val="0"/>
              <w:marTop w:val="0"/>
              <w:marBottom w:val="0"/>
              <w:divBdr>
                <w:top w:val="none" w:sz="0" w:space="0" w:color="auto"/>
                <w:left w:val="none" w:sz="0" w:space="0" w:color="auto"/>
                <w:bottom w:val="none" w:sz="0" w:space="0" w:color="auto"/>
                <w:right w:val="none" w:sz="0" w:space="0" w:color="auto"/>
              </w:divBdr>
            </w:div>
          </w:divsChild>
        </w:div>
        <w:div w:id="75061124">
          <w:marLeft w:val="75"/>
          <w:marRight w:val="0"/>
          <w:marTop w:val="0"/>
          <w:marBottom w:val="0"/>
          <w:divBdr>
            <w:top w:val="none" w:sz="0" w:space="0" w:color="auto"/>
            <w:left w:val="none" w:sz="0" w:space="0" w:color="auto"/>
            <w:bottom w:val="none" w:sz="0" w:space="0" w:color="auto"/>
            <w:right w:val="none" w:sz="0" w:space="0" w:color="auto"/>
          </w:divBdr>
          <w:divsChild>
            <w:div w:id="623583238">
              <w:marLeft w:val="0"/>
              <w:marRight w:val="0"/>
              <w:marTop w:val="0"/>
              <w:marBottom w:val="0"/>
              <w:divBdr>
                <w:top w:val="none" w:sz="0" w:space="0" w:color="auto"/>
                <w:left w:val="none" w:sz="0" w:space="0" w:color="auto"/>
                <w:bottom w:val="none" w:sz="0" w:space="0" w:color="auto"/>
                <w:right w:val="none" w:sz="0" w:space="0" w:color="auto"/>
              </w:divBdr>
            </w:div>
            <w:div w:id="1454908866">
              <w:marLeft w:val="0"/>
              <w:marRight w:val="0"/>
              <w:marTop w:val="0"/>
              <w:marBottom w:val="0"/>
              <w:divBdr>
                <w:top w:val="none" w:sz="0" w:space="0" w:color="auto"/>
                <w:left w:val="none" w:sz="0" w:space="0" w:color="auto"/>
                <w:bottom w:val="none" w:sz="0" w:space="0" w:color="auto"/>
                <w:right w:val="none" w:sz="0" w:space="0" w:color="auto"/>
              </w:divBdr>
            </w:div>
          </w:divsChild>
        </w:div>
        <w:div w:id="234361174">
          <w:marLeft w:val="75"/>
          <w:marRight w:val="0"/>
          <w:marTop w:val="0"/>
          <w:marBottom w:val="0"/>
          <w:divBdr>
            <w:top w:val="none" w:sz="0" w:space="0" w:color="auto"/>
            <w:left w:val="none" w:sz="0" w:space="0" w:color="auto"/>
            <w:bottom w:val="none" w:sz="0" w:space="0" w:color="auto"/>
            <w:right w:val="none" w:sz="0" w:space="0" w:color="auto"/>
          </w:divBdr>
          <w:divsChild>
            <w:div w:id="601887462">
              <w:marLeft w:val="0"/>
              <w:marRight w:val="0"/>
              <w:marTop w:val="0"/>
              <w:marBottom w:val="0"/>
              <w:divBdr>
                <w:top w:val="none" w:sz="0" w:space="0" w:color="auto"/>
                <w:left w:val="none" w:sz="0" w:space="0" w:color="auto"/>
                <w:bottom w:val="none" w:sz="0" w:space="0" w:color="auto"/>
                <w:right w:val="none" w:sz="0" w:space="0" w:color="auto"/>
              </w:divBdr>
            </w:div>
            <w:div w:id="1597446150">
              <w:marLeft w:val="0"/>
              <w:marRight w:val="0"/>
              <w:marTop w:val="0"/>
              <w:marBottom w:val="0"/>
              <w:divBdr>
                <w:top w:val="none" w:sz="0" w:space="0" w:color="auto"/>
                <w:left w:val="none" w:sz="0" w:space="0" w:color="auto"/>
                <w:bottom w:val="none" w:sz="0" w:space="0" w:color="auto"/>
                <w:right w:val="none" w:sz="0" w:space="0" w:color="auto"/>
              </w:divBdr>
            </w:div>
          </w:divsChild>
        </w:div>
        <w:div w:id="302202629">
          <w:marLeft w:val="75"/>
          <w:marRight w:val="0"/>
          <w:marTop w:val="0"/>
          <w:marBottom w:val="0"/>
          <w:divBdr>
            <w:top w:val="none" w:sz="0" w:space="0" w:color="auto"/>
            <w:left w:val="none" w:sz="0" w:space="0" w:color="auto"/>
            <w:bottom w:val="none" w:sz="0" w:space="0" w:color="auto"/>
            <w:right w:val="none" w:sz="0" w:space="0" w:color="auto"/>
          </w:divBdr>
          <w:divsChild>
            <w:div w:id="1713340215">
              <w:marLeft w:val="0"/>
              <w:marRight w:val="0"/>
              <w:marTop w:val="0"/>
              <w:marBottom w:val="0"/>
              <w:divBdr>
                <w:top w:val="none" w:sz="0" w:space="0" w:color="auto"/>
                <w:left w:val="none" w:sz="0" w:space="0" w:color="auto"/>
                <w:bottom w:val="none" w:sz="0" w:space="0" w:color="auto"/>
                <w:right w:val="none" w:sz="0" w:space="0" w:color="auto"/>
              </w:divBdr>
            </w:div>
            <w:div w:id="1974212432">
              <w:marLeft w:val="0"/>
              <w:marRight w:val="0"/>
              <w:marTop w:val="0"/>
              <w:marBottom w:val="0"/>
              <w:divBdr>
                <w:top w:val="none" w:sz="0" w:space="0" w:color="auto"/>
                <w:left w:val="none" w:sz="0" w:space="0" w:color="auto"/>
                <w:bottom w:val="none" w:sz="0" w:space="0" w:color="auto"/>
                <w:right w:val="none" w:sz="0" w:space="0" w:color="auto"/>
              </w:divBdr>
            </w:div>
          </w:divsChild>
        </w:div>
        <w:div w:id="705831840">
          <w:marLeft w:val="75"/>
          <w:marRight w:val="0"/>
          <w:marTop w:val="0"/>
          <w:marBottom w:val="0"/>
          <w:divBdr>
            <w:top w:val="none" w:sz="0" w:space="0" w:color="auto"/>
            <w:left w:val="none" w:sz="0" w:space="0" w:color="auto"/>
            <w:bottom w:val="none" w:sz="0" w:space="0" w:color="auto"/>
            <w:right w:val="none" w:sz="0" w:space="0" w:color="auto"/>
          </w:divBdr>
          <w:divsChild>
            <w:div w:id="1573156225">
              <w:marLeft w:val="0"/>
              <w:marRight w:val="0"/>
              <w:marTop w:val="0"/>
              <w:marBottom w:val="0"/>
              <w:divBdr>
                <w:top w:val="none" w:sz="0" w:space="0" w:color="auto"/>
                <w:left w:val="none" w:sz="0" w:space="0" w:color="auto"/>
                <w:bottom w:val="none" w:sz="0" w:space="0" w:color="auto"/>
                <w:right w:val="none" w:sz="0" w:space="0" w:color="auto"/>
              </w:divBdr>
            </w:div>
            <w:div w:id="2118283887">
              <w:marLeft w:val="0"/>
              <w:marRight w:val="0"/>
              <w:marTop w:val="0"/>
              <w:marBottom w:val="0"/>
              <w:divBdr>
                <w:top w:val="none" w:sz="0" w:space="0" w:color="auto"/>
                <w:left w:val="none" w:sz="0" w:space="0" w:color="auto"/>
                <w:bottom w:val="none" w:sz="0" w:space="0" w:color="auto"/>
                <w:right w:val="none" w:sz="0" w:space="0" w:color="auto"/>
              </w:divBdr>
            </w:div>
          </w:divsChild>
        </w:div>
        <w:div w:id="854611750">
          <w:marLeft w:val="75"/>
          <w:marRight w:val="0"/>
          <w:marTop w:val="0"/>
          <w:marBottom w:val="0"/>
          <w:divBdr>
            <w:top w:val="none" w:sz="0" w:space="0" w:color="auto"/>
            <w:left w:val="none" w:sz="0" w:space="0" w:color="auto"/>
            <w:bottom w:val="none" w:sz="0" w:space="0" w:color="auto"/>
            <w:right w:val="none" w:sz="0" w:space="0" w:color="auto"/>
          </w:divBdr>
          <w:divsChild>
            <w:div w:id="1135677451">
              <w:marLeft w:val="0"/>
              <w:marRight w:val="0"/>
              <w:marTop w:val="0"/>
              <w:marBottom w:val="0"/>
              <w:divBdr>
                <w:top w:val="none" w:sz="0" w:space="0" w:color="auto"/>
                <w:left w:val="none" w:sz="0" w:space="0" w:color="auto"/>
                <w:bottom w:val="none" w:sz="0" w:space="0" w:color="auto"/>
                <w:right w:val="none" w:sz="0" w:space="0" w:color="auto"/>
              </w:divBdr>
            </w:div>
            <w:div w:id="1937706223">
              <w:marLeft w:val="0"/>
              <w:marRight w:val="0"/>
              <w:marTop w:val="0"/>
              <w:marBottom w:val="0"/>
              <w:divBdr>
                <w:top w:val="none" w:sz="0" w:space="0" w:color="auto"/>
                <w:left w:val="none" w:sz="0" w:space="0" w:color="auto"/>
                <w:bottom w:val="none" w:sz="0" w:space="0" w:color="auto"/>
                <w:right w:val="none" w:sz="0" w:space="0" w:color="auto"/>
              </w:divBdr>
            </w:div>
          </w:divsChild>
        </w:div>
        <w:div w:id="879320510">
          <w:marLeft w:val="75"/>
          <w:marRight w:val="0"/>
          <w:marTop w:val="0"/>
          <w:marBottom w:val="0"/>
          <w:divBdr>
            <w:top w:val="none" w:sz="0" w:space="0" w:color="auto"/>
            <w:left w:val="none" w:sz="0" w:space="0" w:color="auto"/>
            <w:bottom w:val="none" w:sz="0" w:space="0" w:color="auto"/>
            <w:right w:val="none" w:sz="0" w:space="0" w:color="auto"/>
          </w:divBdr>
          <w:divsChild>
            <w:div w:id="824197756">
              <w:marLeft w:val="0"/>
              <w:marRight w:val="0"/>
              <w:marTop w:val="0"/>
              <w:marBottom w:val="0"/>
              <w:divBdr>
                <w:top w:val="none" w:sz="0" w:space="0" w:color="auto"/>
                <w:left w:val="none" w:sz="0" w:space="0" w:color="auto"/>
                <w:bottom w:val="none" w:sz="0" w:space="0" w:color="auto"/>
                <w:right w:val="none" w:sz="0" w:space="0" w:color="auto"/>
              </w:divBdr>
            </w:div>
            <w:div w:id="17410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7750">
      <w:bodyDiv w:val="1"/>
      <w:marLeft w:val="0"/>
      <w:marRight w:val="0"/>
      <w:marTop w:val="0"/>
      <w:marBottom w:val="0"/>
      <w:divBdr>
        <w:top w:val="none" w:sz="0" w:space="0" w:color="auto"/>
        <w:left w:val="none" w:sz="0" w:space="0" w:color="auto"/>
        <w:bottom w:val="none" w:sz="0" w:space="0" w:color="auto"/>
        <w:right w:val="none" w:sz="0" w:space="0" w:color="auto"/>
      </w:divBdr>
      <w:divsChild>
        <w:div w:id="26875153">
          <w:marLeft w:val="0"/>
          <w:marRight w:val="0"/>
          <w:marTop w:val="0"/>
          <w:marBottom w:val="0"/>
          <w:divBdr>
            <w:top w:val="none" w:sz="0" w:space="0" w:color="auto"/>
            <w:left w:val="none" w:sz="0" w:space="0" w:color="auto"/>
            <w:bottom w:val="none" w:sz="0" w:space="0" w:color="auto"/>
            <w:right w:val="none" w:sz="0" w:space="0" w:color="auto"/>
          </w:divBdr>
        </w:div>
        <w:div w:id="63576745">
          <w:marLeft w:val="0"/>
          <w:marRight w:val="0"/>
          <w:marTop w:val="0"/>
          <w:marBottom w:val="0"/>
          <w:divBdr>
            <w:top w:val="none" w:sz="0" w:space="0" w:color="auto"/>
            <w:left w:val="none" w:sz="0" w:space="0" w:color="auto"/>
            <w:bottom w:val="none" w:sz="0" w:space="0" w:color="auto"/>
            <w:right w:val="none" w:sz="0" w:space="0" w:color="auto"/>
          </w:divBdr>
        </w:div>
        <w:div w:id="75325990">
          <w:marLeft w:val="0"/>
          <w:marRight w:val="0"/>
          <w:marTop w:val="0"/>
          <w:marBottom w:val="0"/>
          <w:divBdr>
            <w:top w:val="none" w:sz="0" w:space="0" w:color="auto"/>
            <w:left w:val="none" w:sz="0" w:space="0" w:color="auto"/>
            <w:bottom w:val="none" w:sz="0" w:space="0" w:color="auto"/>
            <w:right w:val="none" w:sz="0" w:space="0" w:color="auto"/>
          </w:divBdr>
        </w:div>
        <w:div w:id="81342696">
          <w:marLeft w:val="0"/>
          <w:marRight w:val="0"/>
          <w:marTop w:val="0"/>
          <w:marBottom w:val="0"/>
          <w:divBdr>
            <w:top w:val="none" w:sz="0" w:space="0" w:color="auto"/>
            <w:left w:val="none" w:sz="0" w:space="0" w:color="auto"/>
            <w:bottom w:val="none" w:sz="0" w:space="0" w:color="auto"/>
            <w:right w:val="none" w:sz="0" w:space="0" w:color="auto"/>
          </w:divBdr>
        </w:div>
        <w:div w:id="84805496">
          <w:marLeft w:val="0"/>
          <w:marRight w:val="0"/>
          <w:marTop w:val="0"/>
          <w:marBottom w:val="0"/>
          <w:divBdr>
            <w:top w:val="none" w:sz="0" w:space="0" w:color="auto"/>
            <w:left w:val="none" w:sz="0" w:space="0" w:color="auto"/>
            <w:bottom w:val="none" w:sz="0" w:space="0" w:color="auto"/>
            <w:right w:val="none" w:sz="0" w:space="0" w:color="auto"/>
          </w:divBdr>
        </w:div>
        <w:div w:id="119810594">
          <w:marLeft w:val="0"/>
          <w:marRight w:val="0"/>
          <w:marTop w:val="0"/>
          <w:marBottom w:val="0"/>
          <w:divBdr>
            <w:top w:val="none" w:sz="0" w:space="0" w:color="auto"/>
            <w:left w:val="none" w:sz="0" w:space="0" w:color="auto"/>
            <w:bottom w:val="none" w:sz="0" w:space="0" w:color="auto"/>
            <w:right w:val="none" w:sz="0" w:space="0" w:color="auto"/>
          </w:divBdr>
        </w:div>
        <w:div w:id="146090362">
          <w:marLeft w:val="0"/>
          <w:marRight w:val="0"/>
          <w:marTop w:val="0"/>
          <w:marBottom w:val="0"/>
          <w:divBdr>
            <w:top w:val="none" w:sz="0" w:space="0" w:color="auto"/>
            <w:left w:val="none" w:sz="0" w:space="0" w:color="auto"/>
            <w:bottom w:val="none" w:sz="0" w:space="0" w:color="auto"/>
            <w:right w:val="none" w:sz="0" w:space="0" w:color="auto"/>
          </w:divBdr>
        </w:div>
        <w:div w:id="176620053">
          <w:marLeft w:val="0"/>
          <w:marRight w:val="0"/>
          <w:marTop w:val="0"/>
          <w:marBottom w:val="0"/>
          <w:divBdr>
            <w:top w:val="none" w:sz="0" w:space="0" w:color="auto"/>
            <w:left w:val="none" w:sz="0" w:space="0" w:color="auto"/>
            <w:bottom w:val="none" w:sz="0" w:space="0" w:color="auto"/>
            <w:right w:val="none" w:sz="0" w:space="0" w:color="auto"/>
          </w:divBdr>
        </w:div>
        <w:div w:id="204831889">
          <w:marLeft w:val="0"/>
          <w:marRight w:val="0"/>
          <w:marTop w:val="0"/>
          <w:marBottom w:val="0"/>
          <w:divBdr>
            <w:top w:val="none" w:sz="0" w:space="0" w:color="auto"/>
            <w:left w:val="none" w:sz="0" w:space="0" w:color="auto"/>
            <w:bottom w:val="none" w:sz="0" w:space="0" w:color="auto"/>
            <w:right w:val="none" w:sz="0" w:space="0" w:color="auto"/>
          </w:divBdr>
        </w:div>
        <w:div w:id="232784893">
          <w:marLeft w:val="0"/>
          <w:marRight w:val="0"/>
          <w:marTop w:val="0"/>
          <w:marBottom w:val="0"/>
          <w:divBdr>
            <w:top w:val="none" w:sz="0" w:space="0" w:color="auto"/>
            <w:left w:val="none" w:sz="0" w:space="0" w:color="auto"/>
            <w:bottom w:val="none" w:sz="0" w:space="0" w:color="auto"/>
            <w:right w:val="none" w:sz="0" w:space="0" w:color="auto"/>
          </w:divBdr>
        </w:div>
        <w:div w:id="310452739">
          <w:marLeft w:val="0"/>
          <w:marRight w:val="0"/>
          <w:marTop w:val="0"/>
          <w:marBottom w:val="0"/>
          <w:divBdr>
            <w:top w:val="none" w:sz="0" w:space="0" w:color="auto"/>
            <w:left w:val="none" w:sz="0" w:space="0" w:color="auto"/>
            <w:bottom w:val="none" w:sz="0" w:space="0" w:color="auto"/>
            <w:right w:val="none" w:sz="0" w:space="0" w:color="auto"/>
          </w:divBdr>
        </w:div>
        <w:div w:id="322664289">
          <w:marLeft w:val="0"/>
          <w:marRight w:val="0"/>
          <w:marTop w:val="0"/>
          <w:marBottom w:val="0"/>
          <w:divBdr>
            <w:top w:val="none" w:sz="0" w:space="0" w:color="auto"/>
            <w:left w:val="none" w:sz="0" w:space="0" w:color="auto"/>
            <w:bottom w:val="none" w:sz="0" w:space="0" w:color="auto"/>
            <w:right w:val="none" w:sz="0" w:space="0" w:color="auto"/>
          </w:divBdr>
        </w:div>
        <w:div w:id="329413213">
          <w:marLeft w:val="0"/>
          <w:marRight w:val="0"/>
          <w:marTop w:val="0"/>
          <w:marBottom w:val="0"/>
          <w:divBdr>
            <w:top w:val="none" w:sz="0" w:space="0" w:color="auto"/>
            <w:left w:val="none" w:sz="0" w:space="0" w:color="auto"/>
            <w:bottom w:val="none" w:sz="0" w:space="0" w:color="auto"/>
            <w:right w:val="none" w:sz="0" w:space="0" w:color="auto"/>
          </w:divBdr>
        </w:div>
        <w:div w:id="340594190">
          <w:marLeft w:val="0"/>
          <w:marRight w:val="0"/>
          <w:marTop w:val="0"/>
          <w:marBottom w:val="0"/>
          <w:divBdr>
            <w:top w:val="none" w:sz="0" w:space="0" w:color="auto"/>
            <w:left w:val="none" w:sz="0" w:space="0" w:color="auto"/>
            <w:bottom w:val="none" w:sz="0" w:space="0" w:color="auto"/>
            <w:right w:val="none" w:sz="0" w:space="0" w:color="auto"/>
          </w:divBdr>
        </w:div>
        <w:div w:id="360208256">
          <w:marLeft w:val="0"/>
          <w:marRight w:val="0"/>
          <w:marTop w:val="0"/>
          <w:marBottom w:val="0"/>
          <w:divBdr>
            <w:top w:val="none" w:sz="0" w:space="0" w:color="auto"/>
            <w:left w:val="none" w:sz="0" w:space="0" w:color="auto"/>
            <w:bottom w:val="none" w:sz="0" w:space="0" w:color="auto"/>
            <w:right w:val="none" w:sz="0" w:space="0" w:color="auto"/>
          </w:divBdr>
        </w:div>
        <w:div w:id="381944420">
          <w:marLeft w:val="0"/>
          <w:marRight w:val="0"/>
          <w:marTop w:val="0"/>
          <w:marBottom w:val="0"/>
          <w:divBdr>
            <w:top w:val="none" w:sz="0" w:space="0" w:color="auto"/>
            <w:left w:val="none" w:sz="0" w:space="0" w:color="auto"/>
            <w:bottom w:val="none" w:sz="0" w:space="0" w:color="auto"/>
            <w:right w:val="none" w:sz="0" w:space="0" w:color="auto"/>
          </w:divBdr>
        </w:div>
        <w:div w:id="388695546">
          <w:marLeft w:val="0"/>
          <w:marRight w:val="0"/>
          <w:marTop w:val="0"/>
          <w:marBottom w:val="0"/>
          <w:divBdr>
            <w:top w:val="none" w:sz="0" w:space="0" w:color="auto"/>
            <w:left w:val="none" w:sz="0" w:space="0" w:color="auto"/>
            <w:bottom w:val="none" w:sz="0" w:space="0" w:color="auto"/>
            <w:right w:val="none" w:sz="0" w:space="0" w:color="auto"/>
          </w:divBdr>
        </w:div>
        <w:div w:id="439691698">
          <w:marLeft w:val="0"/>
          <w:marRight w:val="0"/>
          <w:marTop w:val="0"/>
          <w:marBottom w:val="0"/>
          <w:divBdr>
            <w:top w:val="none" w:sz="0" w:space="0" w:color="auto"/>
            <w:left w:val="none" w:sz="0" w:space="0" w:color="auto"/>
            <w:bottom w:val="none" w:sz="0" w:space="0" w:color="auto"/>
            <w:right w:val="none" w:sz="0" w:space="0" w:color="auto"/>
          </w:divBdr>
        </w:div>
        <w:div w:id="473914248">
          <w:marLeft w:val="0"/>
          <w:marRight w:val="0"/>
          <w:marTop w:val="0"/>
          <w:marBottom w:val="0"/>
          <w:divBdr>
            <w:top w:val="none" w:sz="0" w:space="0" w:color="auto"/>
            <w:left w:val="none" w:sz="0" w:space="0" w:color="auto"/>
            <w:bottom w:val="none" w:sz="0" w:space="0" w:color="auto"/>
            <w:right w:val="none" w:sz="0" w:space="0" w:color="auto"/>
          </w:divBdr>
        </w:div>
        <w:div w:id="538709483">
          <w:marLeft w:val="0"/>
          <w:marRight w:val="0"/>
          <w:marTop w:val="0"/>
          <w:marBottom w:val="0"/>
          <w:divBdr>
            <w:top w:val="none" w:sz="0" w:space="0" w:color="auto"/>
            <w:left w:val="none" w:sz="0" w:space="0" w:color="auto"/>
            <w:bottom w:val="none" w:sz="0" w:space="0" w:color="auto"/>
            <w:right w:val="none" w:sz="0" w:space="0" w:color="auto"/>
          </w:divBdr>
        </w:div>
        <w:div w:id="539902054">
          <w:marLeft w:val="0"/>
          <w:marRight w:val="0"/>
          <w:marTop w:val="0"/>
          <w:marBottom w:val="0"/>
          <w:divBdr>
            <w:top w:val="none" w:sz="0" w:space="0" w:color="auto"/>
            <w:left w:val="none" w:sz="0" w:space="0" w:color="auto"/>
            <w:bottom w:val="none" w:sz="0" w:space="0" w:color="auto"/>
            <w:right w:val="none" w:sz="0" w:space="0" w:color="auto"/>
          </w:divBdr>
        </w:div>
        <w:div w:id="557278185">
          <w:marLeft w:val="0"/>
          <w:marRight w:val="0"/>
          <w:marTop w:val="0"/>
          <w:marBottom w:val="0"/>
          <w:divBdr>
            <w:top w:val="none" w:sz="0" w:space="0" w:color="auto"/>
            <w:left w:val="none" w:sz="0" w:space="0" w:color="auto"/>
            <w:bottom w:val="none" w:sz="0" w:space="0" w:color="auto"/>
            <w:right w:val="none" w:sz="0" w:space="0" w:color="auto"/>
          </w:divBdr>
        </w:div>
        <w:div w:id="804851757">
          <w:marLeft w:val="0"/>
          <w:marRight w:val="0"/>
          <w:marTop w:val="0"/>
          <w:marBottom w:val="0"/>
          <w:divBdr>
            <w:top w:val="none" w:sz="0" w:space="0" w:color="auto"/>
            <w:left w:val="none" w:sz="0" w:space="0" w:color="auto"/>
            <w:bottom w:val="none" w:sz="0" w:space="0" w:color="auto"/>
            <w:right w:val="none" w:sz="0" w:space="0" w:color="auto"/>
          </w:divBdr>
        </w:div>
        <w:div w:id="838151743">
          <w:marLeft w:val="0"/>
          <w:marRight w:val="0"/>
          <w:marTop w:val="0"/>
          <w:marBottom w:val="0"/>
          <w:divBdr>
            <w:top w:val="none" w:sz="0" w:space="0" w:color="auto"/>
            <w:left w:val="none" w:sz="0" w:space="0" w:color="auto"/>
            <w:bottom w:val="none" w:sz="0" w:space="0" w:color="auto"/>
            <w:right w:val="none" w:sz="0" w:space="0" w:color="auto"/>
          </w:divBdr>
        </w:div>
        <w:div w:id="920259612">
          <w:marLeft w:val="0"/>
          <w:marRight w:val="0"/>
          <w:marTop w:val="0"/>
          <w:marBottom w:val="0"/>
          <w:divBdr>
            <w:top w:val="none" w:sz="0" w:space="0" w:color="auto"/>
            <w:left w:val="none" w:sz="0" w:space="0" w:color="auto"/>
            <w:bottom w:val="none" w:sz="0" w:space="0" w:color="auto"/>
            <w:right w:val="none" w:sz="0" w:space="0" w:color="auto"/>
          </w:divBdr>
        </w:div>
        <w:div w:id="957226738">
          <w:marLeft w:val="0"/>
          <w:marRight w:val="0"/>
          <w:marTop w:val="0"/>
          <w:marBottom w:val="0"/>
          <w:divBdr>
            <w:top w:val="none" w:sz="0" w:space="0" w:color="auto"/>
            <w:left w:val="none" w:sz="0" w:space="0" w:color="auto"/>
            <w:bottom w:val="none" w:sz="0" w:space="0" w:color="auto"/>
            <w:right w:val="none" w:sz="0" w:space="0" w:color="auto"/>
          </w:divBdr>
        </w:div>
        <w:div w:id="995112820">
          <w:marLeft w:val="0"/>
          <w:marRight w:val="0"/>
          <w:marTop w:val="0"/>
          <w:marBottom w:val="0"/>
          <w:divBdr>
            <w:top w:val="none" w:sz="0" w:space="0" w:color="auto"/>
            <w:left w:val="none" w:sz="0" w:space="0" w:color="auto"/>
            <w:bottom w:val="none" w:sz="0" w:space="0" w:color="auto"/>
            <w:right w:val="none" w:sz="0" w:space="0" w:color="auto"/>
          </w:divBdr>
        </w:div>
        <w:div w:id="1022970574">
          <w:marLeft w:val="0"/>
          <w:marRight w:val="0"/>
          <w:marTop w:val="0"/>
          <w:marBottom w:val="0"/>
          <w:divBdr>
            <w:top w:val="none" w:sz="0" w:space="0" w:color="auto"/>
            <w:left w:val="none" w:sz="0" w:space="0" w:color="auto"/>
            <w:bottom w:val="none" w:sz="0" w:space="0" w:color="auto"/>
            <w:right w:val="none" w:sz="0" w:space="0" w:color="auto"/>
          </w:divBdr>
        </w:div>
        <w:div w:id="1072627759">
          <w:marLeft w:val="0"/>
          <w:marRight w:val="0"/>
          <w:marTop w:val="0"/>
          <w:marBottom w:val="0"/>
          <w:divBdr>
            <w:top w:val="none" w:sz="0" w:space="0" w:color="auto"/>
            <w:left w:val="none" w:sz="0" w:space="0" w:color="auto"/>
            <w:bottom w:val="none" w:sz="0" w:space="0" w:color="auto"/>
            <w:right w:val="none" w:sz="0" w:space="0" w:color="auto"/>
          </w:divBdr>
        </w:div>
        <w:div w:id="1078212218">
          <w:marLeft w:val="0"/>
          <w:marRight w:val="0"/>
          <w:marTop w:val="0"/>
          <w:marBottom w:val="0"/>
          <w:divBdr>
            <w:top w:val="none" w:sz="0" w:space="0" w:color="auto"/>
            <w:left w:val="none" w:sz="0" w:space="0" w:color="auto"/>
            <w:bottom w:val="none" w:sz="0" w:space="0" w:color="auto"/>
            <w:right w:val="none" w:sz="0" w:space="0" w:color="auto"/>
          </w:divBdr>
        </w:div>
        <w:div w:id="1154645046">
          <w:marLeft w:val="0"/>
          <w:marRight w:val="0"/>
          <w:marTop w:val="0"/>
          <w:marBottom w:val="0"/>
          <w:divBdr>
            <w:top w:val="none" w:sz="0" w:space="0" w:color="auto"/>
            <w:left w:val="none" w:sz="0" w:space="0" w:color="auto"/>
            <w:bottom w:val="none" w:sz="0" w:space="0" w:color="auto"/>
            <w:right w:val="none" w:sz="0" w:space="0" w:color="auto"/>
          </w:divBdr>
        </w:div>
        <w:div w:id="1183940259">
          <w:marLeft w:val="0"/>
          <w:marRight w:val="0"/>
          <w:marTop w:val="0"/>
          <w:marBottom w:val="0"/>
          <w:divBdr>
            <w:top w:val="none" w:sz="0" w:space="0" w:color="auto"/>
            <w:left w:val="none" w:sz="0" w:space="0" w:color="auto"/>
            <w:bottom w:val="none" w:sz="0" w:space="0" w:color="auto"/>
            <w:right w:val="none" w:sz="0" w:space="0" w:color="auto"/>
          </w:divBdr>
        </w:div>
        <w:div w:id="1189903565">
          <w:marLeft w:val="0"/>
          <w:marRight w:val="0"/>
          <w:marTop w:val="0"/>
          <w:marBottom w:val="0"/>
          <w:divBdr>
            <w:top w:val="none" w:sz="0" w:space="0" w:color="auto"/>
            <w:left w:val="none" w:sz="0" w:space="0" w:color="auto"/>
            <w:bottom w:val="none" w:sz="0" w:space="0" w:color="auto"/>
            <w:right w:val="none" w:sz="0" w:space="0" w:color="auto"/>
          </w:divBdr>
        </w:div>
        <w:div w:id="1193154027">
          <w:marLeft w:val="0"/>
          <w:marRight w:val="0"/>
          <w:marTop w:val="0"/>
          <w:marBottom w:val="0"/>
          <w:divBdr>
            <w:top w:val="none" w:sz="0" w:space="0" w:color="auto"/>
            <w:left w:val="none" w:sz="0" w:space="0" w:color="auto"/>
            <w:bottom w:val="none" w:sz="0" w:space="0" w:color="auto"/>
            <w:right w:val="none" w:sz="0" w:space="0" w:color="auto"/>
          </w:divBdr>
        </w:div>
        <w:div w:id="1198663025">
          <w:marLeft w:val="0"/>
          <w:marRight w:val="0"/>
          <w:marTop w:val="0"/>
          <w:marBottom w:val="0"/>
          <w:divBdr>
            <w:top w:val="none" w:sz="0" w:space="0" w:color="auto"/>
            <w:left w:val="none" w:sz="0" w:space="0" w:color="auto"/>
            <w:bottom w:val="none" w:sz="0" w:space="0" w:color="auto"/>
            <w:right w:val="none" w:sz="0" w:space="0" w:color="auto"/>
          </w:divBdr>
        </w:div>
        <w:div w:id="1223519816">
          <w:marLeft w:val="0"/>
          <w:marRight w:val="0"/>
          <w:marTop w:val="0"/>
          <w:marBottom w:val="0"/>
          <w:divBdr>
            <w:top w:val="none" w:sz="0" w:space="0" w:color="auto"/>
            <w:left w:val="none" w:sz="0" w:space="0" w:color="auto"/>
            <w:bottom w:val="none" w:sz="0" w:space="0" w:color="auto"/>
            <w:right w:val="none" w:sz="0" w:space="0" w:color="auto"/>
          </w:divBdr>
        </w:div>
        <w:div w:id="1261110724">
          <w:marLeft w:val="0"/>
          <w:marRight w:val="0"/>
          <w:marTop w:val="0"/>
          <w:marBottom w:val="0"/>
          <w:divBdr>
            <w:top w:val="none" w:sz="0" w:space="0" w:color="auto"/>
            <w:left w:val="none" w:sz="0" w:space="0" w:color="auto"/>
            <w:bottom w:val="none" w:sz="0" w:space="0" w:color="auto"/>
            <w:right w:val="none" w:sz="0" w:space="0" w:color="auto"/>
          </w:divBdr>
        </w:div>
        <w:div w:id="1271010342">
          <w:marLeft w:val="0"/>
          <w:marRight w:val="0"/>
          <w:marTop w:val="0"/>
          <w:marBottom w:val="0"/>
          <w:divBdr>
            <w:top w:val="none" w:sz="0" w:space="0" w:color="auto"/>
            <w:left w:val="none" w:sz="0" w:space="0" w:color="auto"/>
            <w:bottom w:val="none" w:sz="0" w:space="0" w:color="auto"/>
            <w:right w:val="none" w:sz="0" w:space="0" w:color="auto"/>
          </w:divBdr>
        </w:div>
        <w:div w:id="1303346065">
          <w:marLeft w:val="0"/>
          <w:marRight w:val="0"/>
          <w:marTop w:val="0"/>
          <w:marBottom w:val="0"/>
          <w:divBdr>
            <w:top w:val="none" w:sz="0" w:space="0" w:color="auto"/>
            <w:left w:val="none" w:sz="0" w:space="0" w:color="auto"/>
            <w:bottom w:val="none" w:sz="0" w:space="0" w:color="auto"/>
            <w:right w:val="none" w:sz="0" w:space="0" w:color="auto"/>
          </w:divBdr>
        </w:div>
        <w:div w:id="1305698244">
          <w:marLeft w:val="0"/>
          <w:marRight w:val="0"/>
          <w:marTop w:val="0"/>
          <w:marBottom w:val="0"/>
          <w:divBdr>
            <w:top w:val="none" w:sz="0" w:space="0" w:color="auto"/>
            <w:left w:val="none" w:sz="0" w:space="0" w:color="auto"/>
            <w:bottom w:val="none" w:sz="0" w:space="0" w:color="auto"/>
            <w:right w:val="none" w:sz="0" w:space="0" w:color="auto"/>
          </w:divBdr>
        </w:div>
        <w:div w:id="1395201068">
          <w:marLeft w:val="0"/>
          <w:marRight w:val="0"/>
          <w:marTop w:val="0"/>
          <w:marBottom w:val="0"/>
          <w:divBdr>
            <w:top w:val="none" w:sz="0" w:space="0" w:color="auto"/>
            <w:left w:val="none" w:sz="0" w:space="0" w:color="auto"/>
            <w:bottom w:val="none" w:sz="0" w:space="0" w:color="auto"/>
            <w:right w:val="none" w:sz="0" w:space="0" w:color="auto"/>
          </w:divBdr>
        </w:div>
        <w:div w:id="1413502931">
          <w:marLeft w:val="0"/>
          <w:marRight w:val="0"/>
          <w:marTop w:val="0"/>
          <w:marBottom w:val="0"/>
          <w:divBdr>
            <w:top w:val="none" w:sz="0" w:space="0" w:color="auto"/>
            <w:left w:val="none" w:sz="0" w:space="0" w:color="auto"/>
            <w:bottom w:val="none" w:sz="0" w:space="0" w:color="auto"/>
            <w:right w:val="none" w:sz="0" w:space="0" w:color="auto"/>
          </w:divBdr>
        </w:div>
        <w:div w:id="1450514637">
          <w:marLeft w:val="0"/>
          <w:marRight w:val="0"/>
          <w:marTop w:val="0"/>
          <w:marBottom w:val="0"/>
          <w:divBdr>
            <w:top w:val="none" w:sz="0" w:space="0" w:color="auto"/>
            <w:left w:val="none" w:sz="0" w:space="0" w:color="auto"/>
            <w:bottom w:val="none" w:sz="0" w:space="0" w:color="auto"/>
            <w:right w:val="none" w:sz="0" w:space="0" w:color="auto"/>
          </w:divBdr>
        </w:div>
        <w:div w:id="1474912018">
          <w:marLeft w:val="0"/>
          <w:marRight w:val="0"/>
          <w:marTop w:val="0"/>
          <w:marBottom w:val="0"/>
          <w:divBdr>
            <w:top w:val="none" w:sz="0" w:space="0" w:color="auto"/>
            <w:left w:val="none" w:sz="0" w:space="0" w:color="auto"/>
            <w:bottom w:val="none" w:sz="0" w:space="0" w:color="auto"/>
            <w:right w:val="none" w:sz="0" w:space="0" w:color="auto"/>
          </w:divBdr>
        </w:div>
        <w:div w:id="1593662145">
          <w:marLeft w:val="0"/>
          <w:marRight w:val="0"/>
          <w:marTop w:val="0"/>
          <w:marBottom w:val="0"/>
          <w:divBdr>
            <w:top w:val="none" w:sz="0" w:space="0" w:color="auto"/>
            <w:left w:val="none" w:sz="0" w:space="0" w:color="auto"/>
            <w:bottom w:val="none" w:sz="0" w:space="0" w:color="auto"/>
            <w:right w:val="none" w:sz="0" w:space="0" w:color="auto"/>
          </w:divBdr>
        </w:div>
        <w:div w:id="1628272003">
          <w:marLeft w:val="0"/>
          <w:marRight w:val="0"/>
          <w:marTop w:val="0"/>
          <w:marBottom w:val="0"/>
          <w:divBdr>
            <w:top w:val="none" w:sz="0" w:space="0" w:color="auto"/>
            <w:left w:val="none" w:sz="0" w:space="0" w:color="auto"/>
            <w:bottom w:val="none" w:sz="0" w:space="0" w:color="auto"/>
            <w:right w:val="none" w:sz="0" w:space="0" w:color="auto"/>
          </w:divBdr>
        </w:div>
        <w:div w:id="1705591761">
          <w:marLeft w:val="0"/>
          <w:marRight w:val="0"/>
          <w:marTop w:val="0"/>
          <w:marBottom w:val="0"/>
          <w:divBdr>
            <w:top w:val="none" w:sz="0" w:space="0" w:color="auto"/>
            <w:left w:val="none" w:sz="0" w:space="0" w:color="auto"/>
            <w:bottom w:val="none" w:sz="0" w:space="0" w:color="auto"/>
            <w:right w:val="none" w:sz="0" w:space="0" w:color="auto"/>
          </w:divBdr>
        </w:div>
        <w:div w:id="1746099583">
          <w:marLeft w:val="0"/>
          <w:marRight w:val="0"/>
          <w:marTop w:val="0"/>
          <w:marBottom w:val="0"/>
          <w:divBdr>
            <w:top w:val="none" w:sz="0" w:space="0" w:color="auto"/>
            <w:left w:val="none" w:sz="0" w:space="0" w:color="auto"/>
            <w:bottom w:val="none" w:sz="0" w:space="0" w:color="auto"/>
            <w:right w:val="none" w:sz="0" w:space="0" w:color="auto"/>
          </w:divBdr>
        </w:div>
        <w:div w:id="1795758499">
          <w:marLeft w:val="0"/>
          <w:marRight w:val="0"/>
          <w:marTop w:val="0"/>
          <w:marBottom w:val="0"/>
          <w:divBdr>
            <w:top w:val="none" w:sz="0" w:space="0" w:color="auto"/>
            <w:left w:val="none" w:sz="0" w:space="0" w:color="auto"/>
            <w:bottom w:val="none" w:sz="0" w:space="0" w:color="auto"/>
            <w:right w:val="none" w:sz="0" w:space="0" w:color="auto"/>
          </w:divBdr>
        </w:div>
        <w:div w:id="1896969910">
          <w:marLeft w:val="0"/>
          <w:marRight w:val="0"/>
          <w:marTop w:val="0"/>
          <w:marBottom w:val="0"/>
          <w:divBdr>
            <w:top w:val="none" w:sz="0" w:space="0" w:color="auto"/>
            <w:left w:val="none" w:sz="0" w:space="0" w:color="auto"/>
            <w:bottom w:val="none" w:sz="0" w:space="0" w:color="auto"/>
            <w:right w:val="none" w:sz="0" w:space="0" w:color="auto"/>
          </w:divBdr>
        </w:div>
        <w:div w:id="1917978736">
          <w:marLeft w:val="0"/>
          <w:marRight w:val="0"/>
          <w:marTop w:val="0"/>
          <w:marBottom w:val="0"/>
          <w:divBdr>
            <w:top w:val="none" w:sz="0" w:space="0" w:color="auto"/>
            <w:left w:val="none" w:sz="0" w:space="0" w:color="auto"/>
            <w:bottom w:val="none" w:sz="0" w:space="0" w:color="auto"/>
            <w:right w:val="none" w:sz="0" w:space="0" w:color="auto"/>
          </w:divBdr>
        </w:div>
        <w:div w:id="1934706053">
          <w:marLeft w:val="0"/>
          <w:marRight w:val="0"/>
          <w:marTop w:val="0"/>
          <w:marBottom w:val="0"/>
          <w:divBdr>
            <w:top w:val="none" w:sz="0" w:space="0" w:color="auto"/>
            <w:left w:val="none" w:sz="0" w:space="0" w:color="auto"/>
            <w:bottom w:val="none" w:sz="0" w:space="0" w:color="auto"/>
            <w:right w:val="none" w:sz="0" w:space="0" w:color="auto"/>
          </w:divBdr>
        </w:div>
        <w:div w:id="1976638864">
          <w:marLeft w:val="0"/>
          <w:marRight w:val="0"/>
          <w:marTop w:val="0"/>
          <w:marBottom w:val="0"/>
          <w:divBdr>
            <w:top w:val="none" w:sz="0" w:space="0" w:color="auto"/>
            <w:left w:val="none" w:sz="0" w:space="0" w:color="auto"/>
            <w:bottom w:val="none" w:sz="0" w:space="0" w:color="auto"/>
            <w:right w:val="none" w:sz="0" w:space="0" w:color="auto"/>
          </w:divBdr>
        </w:div>
        <w:div w:id="2024746812">
          <w:marLeft w:val="0"/>
          <w:marRight w:val="0"/>
          <w:marTop w:val="0"/>
          <w:marBottom w:val="0"/>
          <w:divBdr>
            <w:top w:val="none" w:sz="0" w:space="0" w:color="auto"/>
            <w:left w:val="none" w:sz="0" w:space="0" w:color="auto"/>
            <w:bottom w:val="none" w:sz="0" w:space="0" w:color="auto"/>
            <w:right w:val="none" w:sz="0" w:space="0" w:color="auto"/>
          </w:divBdr>
        </w:div>
        <w:div w:id="2026242959">
          <w:marLeft w:val="0"/>
          <w:marRight w:val="0"/>
          <w:marTop w:val="0"/>
          <w:marBottom w:val="0"/>
          <w:divBdr>
            <w:top w:val="none" w:sz="0" w:space="0" w:color="auto"/>
            <w:left w:val="none" w:sz="0" w:space="0" w:color="auto"/>
            <w:bottom w:val="none" w:sz="0" w:space="0" w:color="auto"/>
            <w:right w:val="none" w:sz="0" w:space="0" w:color="auto"/>
          </w:divBdr>
        </w:div>
        <w:div w:id="2040162902">
          <w:marLeft w:val="0"/>
          <w:marRight w:val="0"/>
          <w:marTop w:val="0"/>
          <w:marBottom w:val="0"/>
          <w:divBdr>
            <w:top w:val="none" w:sz="0" w:space="0" w:color="auto"/>
            <w:left w:val="none" w:sz="0" w:space="0" w:color="auto"/>
            <w:bottom w:val="none" w:sz="0" w:space="0" w:color="auto"/>
            <w:right w:val="none" w:sz="0" w:space="0" w:color="auto"/>
          </w:divBdr>
        </w:div>
        <w:div w:id="2072386711">
          <w:marLeft w:val="0"/>
          <w:marRight w:val="0"/>
          <w:marTop w:val="0"/>
          <w:marBottom w:val="0"/>
          <w:divBdr>
            <w:top w:val="none" w:sz="0" w:space="0" w:color="auto"/>
            <w:left w:val="none" w:sz="0" w:space="0" w:color="auto"/>
            <w:bottom w:val="none" w:sz="0" w:space="0" w:color="auto"/>
            <w:right w:val="none" w:sz="0" w:space="0" w:color="auto"/>
          </w:divBdr>
        </w:div>
        <w:div w:id="2099325113">
          <w:marLeft w:val="0"/>
          <w:marRight w:val="0"/>
          <w:marTop w:val="0"/>
          <w:marBottom w:val="0"/>
          <w:divBdr>
            <w:top w:val="none" w:sz="0" w:space="0" w:color="auto"/>
            <w:left w:val="none" w:sz="0" w:space="0" w:color="auto"/>
            <w:bottom w:val="none" w:sz="0" w:space="0" w:color="auto"/>
            <w:right w:val="none" w:sz="0" w:space="0" w:color="auto"/>
          </w:divBdr>
        </w:div>
      </w:divsChild>
    </w:div>
    <w:div w:id="713233749">
      <w:bodyDiv w:val="1"/>
      <w:marLeft w:val="0"/>
      <w:marRight w:val="0"/>
      <w:marTop w:val="0"/>
      <w:marBottom w:val="0"/>
      <w:divBdr>
        <w:top w:val="none" w:sz="0" w:space="0" w:color="auto"/>
        <w:left w:val="none" w:sz="0" w:space="0" w:color="auto"/>
        <w:bottom w:val="none" w:sz="0" w:space="0" w:color="auto"/>
        <w:right w:val="none" w:sz="0" w:space="0" w:color="auto"/>
      </w:divBdr>
      <w:divsChild>
        <w:div w:id="505363131">
          <w:marLeft w:val="547"/>
          <w:marRight w:val="0"/>
          <w:marTop w:val="77"/>
          <w:marBottom w:val="0"/>
          <w:divBdr>
            <w:top w:val="none" w:sz="0" w:space="0" w:color="auto"/>
            <w:left w:val="none" w:sz="0" w:space="0" w:color="auto"/>
            <w:bottom w:val="none" w:sz="0" w:space="0" w:color="auto"/>
            <w:right w:val="none" w:sz="0" w:space="0" w:color="auto"/>
          </w:divBdr>
        </w:div>
        <w:div w:id="894200233">
          <w:marLeft w:val="547"/>
          <w:marRight w:val="0"/>
          <w:marTop w:val="77"/>
          <w:marBottom w:val="0"/>
          <w:divBdr>
            <w:top w:val="none" w:sz="0" w:space="0" w:color="auto"/>
            <w:left w:val="none" w:sz="0" w:space="0" w:color="auto"/>
            <w:bottom w:val="none" w:sz="0" w:space="0" w:color="auto"/>
            <w:right w:val="none" w:sz="0" w:space="0" w:color="auto"/>
          </w:divBdr>
        </w:div>
        <w:div w:id="1929265317">
          <w:marLeft w:val="547"/>
          <w:marRight w:val="0"/>
          <w:marTop w:val="77"/>
          <w:marBottom w:val="0"/>
          <w:divBdr>
            <w:top w:val="none" w:sz="0" w:space="0" w:color="auto"/>
            <w:left w:val="none" w:sz="0" w:space="0" w:color="auto"/>
            <w:bottom w:val="none" w:sz="0" w:space="0" w:color="auto"/>
            <w:right w:val="none" w:sz="0" w:space="0" w:color="auto"/>
          </w:divBdr>
        </w:div>
      </w:divsChild>
    </w:div>
    <w:div w:id="770246711">
      <w:bodyDiv w:val="1"/>
      <w:marLeft w:val="0"/>
      <w:marRight w:val="0"/>
      <w:marTop w:val="0"/>
      <w:marBottom w:val="0"/>
      <w:divBdr>
        <w:top w:val="none" w:sz="0" w:space="0" w:color="auto"/>
        <w:left w:val="none" w:sz="0" w:space="0" w:color="auto"/>
        <w:bottom w:val="none" w:sz="0" w:space="0" w:color="auto"/>
        <w:right w:val="none" w:sz="0" w:space="0" w:color="auto"/>
      </w:divBdr>
    </w:div>
    <w:div w:id="960693349">
      <w:bodyDiv w:val="1"/>
      <w:marLeft w:val="0"/>
      <w:marRight w:val="0"/>
      <w:marTop w:val="0"/>
      <w:marBottom w:val="0"/>
      <w:divBdr>
        <w:top w:val="none" w:sz="0" w:space="0" w:color="auto"/>
        <w:left w:val="none" w:sz="0" w:space="0" w:color="auto"/>
        <w:bottom w:val="none" w:sz="0" w:space="0" w:color="auto"/>
        <w:right w:val="none" w:sz="0" w:space="0" w:color="auto"/>
      </w:divBdr>
    </w:div>
    <w:div w:id="1025862507">
      <w:bodyDiv w:val="1"/>
      <w:marLeft w:val="0"/>
      <w:marRight w:val="0"/>
      <w:marTop w:val="0"/>
      <w:marBottom w:val="0"/>
      <w:divBdr>
        <w:top w:val="none" w:sz="0" w:space="0" w:color="auto"/>
        <w:left w:val="none" w:sz="0" w:space="0" w:color="auto"/>
        <w:bottom w:val="none" w:sz="0" w:space="0" w:color="auto"/>
        <w:right w:val="none" w:sz="0" w:space="0" w:color="auto"/>
      </w:divBdr>
    </w:div>
    <w:div w:id="1214347680">
      <w:bodyDiv w:val="1"/>
      <w:marLeft w:val="0"/>
      <w:marRight w:val="0"/>
      <w:marTop w:val="0"/>
      <w:marBottom w:val="0"/>
      <w:divBdr>
        <w:top w:val="none" w:sz="0" w:space="0" w:color="auto"/>
        <w:left w:val="none" w:sz="0" w:space="0" w:color="auto"/>
        <w:bottom w:val="none" w:sz="0" w:space="0" w:color="auto"/>
        <w:right w:val="none" w:sz="0" w:space="0" w:color="auto"/>
      </w:divBdr>
      <w:divsChild>
        <w:div w:id="214894099">
          <w:marLeft w:val="547"/>
          <w:marRight w:val="0"/>
          <w:marTop w:val="77"/>
          <w:marBottom w:val="0"/>
          <w:divBdr>
            <w:top w:val="none" w:sz="0" w:space="0" w:color="auto"/>
            <w:left w:val="none" w:sz="0" w:space="0" w:color="auto"/>
            <w:bottom w:val="none" w:sz="0" w:space="0" w:color="auto"/>
            <w:right w:val="none" w:sz="0" w:space="0" w:color="auto"/>
          </w:divBdr>
        </w:div>
        <w:div w:id="1155681504">
          <w:marLeft w:val="547"/>
          <w:marRight w:val="0"/>
          <w:marTop w:val="77"/>
          <w:marBottom w:val="0"/>
          <w:divBdr>
            <w:top w:val="none" w:sz="0" w:space="0" w:color="auto"/>
            <w:left w:val="none" w:sz="0" w:space="0" w:color="auto"/>
            <w:bottom w:val="none" w:sz="0" w:space="0" w:color="auto"/>
            <w:right w:val="none" w:sz="0" w:space="0" w:color="auto"/>
          </w:divBdr>
        </w:div>
        <w:div w:id="1543132740">
          <w:marLeft w:val="547"/>
          <w:marRight w:val="0"/>
          <w:marTop w:val="77"/>
          <w:marBottom w:val="0"/>
          <w:divBdr>
            <w:top w:val="none" w:sz="0" w:space="0" w:color="auto"/>
            <w:left w:val="none" w:sz="0" w:space="0" w:color="auto"/>
            <w:bottom w:val="none" w:sz="0" w:space="0" w:color="auto"/>
            <w:right w:val="none" w:sz="0" w:space="0" w:color="auto"/>
          </w:divBdr>
        </w:div>
        <w:div w:id="1718579846">
          <w:marLeft w:val="547"/>
          <w:marRight w:val="0"/>
          <w:marTop w:val="77"/>
          <w:marBottom w:val="0"/>
          <w:divBdr>
            <w:top w:val="none" w:sz="0" w:space="0" w:color="auto"/>
            <w:left w:val="none" w:sz="0" w:space="0" w:color="auto"/>
            <w:bottom w:val="none" w:sz="0" w:space="0" w:color="auto"/>
            <w:right w:val="none" w:sz="0" w:space="0" w:color="auto"/>
          </w:divBdr>
        </w:div>
      </w:divsChild>
    </w:div>
    <w:div w:id="1238588819">
      <w:bodyDiv w:val="1"/>
      <w:marLeft w:val="0"/>
      <w:marRight w:val="0"/>
      <w:marTop w:val="0"/>
      <w:marBottom w:val="0"/>
      <w:divBdr>
        <w:top w:val="none" w:sz="0" w:space="0" w:color="auto"/>
        <w:left w:val="none" w:sz="0" w:space="0" w:color="auto"/>
        <w:bottom w:val="none" w:sz="0" w:space="0" w:color="auto"/>
        <w:right w:val="none" w:sz="0" w:space="0" w:color="auto"/>
      </w:divBdr>
    </w:div>
    <w:div w:id="1277907758">
      <w:bodyDiv w:val="1"/>
      <w:marLeft w:val="0"/>
      <w:marRight w:val="0"/>
      <w:marTop w:val="0"/>
      <w:marBottom w:val="0"/>
      <w:divBdr>
        <w:top w:val="none" w:sz="0" w:space="0" w:color="auto"/>
        <w:left w:val="none" w:sz="0" w:space="0" w:color="auto"/>
        <w:bottom w:val="none" w:sz="0" w:space="0" w:color="auto"/>
        <w:right w:val="none" w:sz="0" w:space="0" w:color="auto"/>
      </w:divBdr>
      <w:divsChild>
        <w:div w:id="54790561">
          <w:marLeft w:val="0"/>
          <w:marRight w:val="0"/>
          <w:marTop w:val="0"/>
          <w:marBottom w:val="0"/>
          <w:divBdr>
            <w:top w:val="none" w:sz="0" w:space="0" w:color="auto"/>
            <w:left w:val="none" w:sz="0" w:space="0" w:color="auto"/>
            <w:bottom w:val="none" w:sz="0" w:space="0" w:color="auto"/>
            <w:right w:val="none" w:sz="0" w:space="0" w:color="auto"/>
          </w:divBdr>
        </w:div>
        <w:div w:id="85880145">
          <w:marLeft w:val="0"/>
          <w:marRight w:val="0"/>
          <w:marTop w:val="0"/>
          <w:marBottom w:val="0"/>
          <w:divBdr>
            <w:top w:val="none" w:sz="0" w:space="0" w:color="auto"/>
            <w:left w:val="none" w:sz="0" w:space="0" w:color="auto"/>
            <w:bottom w:val="none" w:sz="0" w:space="0" w:color="auto"/>
            <w:right w:val="none" w:sz="0" w:space="0" w:color="auto"/>
          </w:divBdr>
        </w:div>
        <w:div w:id="85884914">
          <w:marLeft w:val="0"/>
          <w:marRight w:val="0"/>
          <w:marTop w:val="0"/>
          <w:marBottom w:val="0"/>
          <w:divBdr>
            <w:top w:val="none" w:sz="0" w:space="0" w:color="auto"/>
            <w:left w:val="none" w:sz="0" w:space="0" w:color="auto"/>
            <w:bottom w:val="none" w:sz="0" w:space="0" w:color="auto"/>
            <w:right w:val="none" w:sz="0" w:space="0" w:color="auto"/>
          </w:divBdr>
        </w:div>
        <w:div w:id="102266093">
          <w:marLeft w:val="0"/>
          <w:marRight w:val="0"/>
          <w:marTop w:val="0"/>
          <w:marBottom w:val="0"/>
          <w:divBdr>
            <w:top w:val="none" w:sz="0" w:space="0" w:color="auto"/>
            <w:left w:val="none" w:sz="0" w:space="0" w:color="auto"/>
            <w:bottom w:val="none" w:sz="0" w:space="0" w:color="auto"/>
            <w:right w:val="none" w:sz="0" w:space="0" w:color="auto"/>
          </w:divBdr>
        </w:div>
        <w:div w:id="122355958">
          <w:marLeft w:val="0"/>
          <w:marRight w:val="0"/>
          <w:marTop w:val="0"/>
          <w:marBottom w:val="0"/>
          <w:divBdr>
            <w:top w:val="none" w:sz="0" w:space="0" w:color="auto"/>
            <w:left w:val="none" w:sz="0" w:space="0" w:color="auto"/>
            <w:bottom w:val="none" w:sz="0" w:space="0" w:color="auto"/>
            <w:right w:val="none" w:sz="0" w:space="0" w:color="auto"/>
          </w:divBdr>
        </w:div>
        <w:div w:id="153381645">
          <w:marLeft w:val="0"/>
          <w:marRight w:val="0"/>
          <w:marTop w:val="0"/>
          <w:marBottom w:val="0"/>
          <w:divBdr>
            <w:top w:val="none" w:sz="0" w:space="0" w:color="auto"/>
            <w:left w:val="none" w:sz="0" w:space="0" w:color="auto"/>
            <w:bottom w:val="none" w:sz="0" w:space="0" w:color="auto"/>
            <w:right w:val="none" w:sz="0" w:space="0" w:color="auto"/>
          </w:divBdr>
        </w:div>
        <w:div w:id="186873550">
          <w:marLeft w:val="0"/>
          <w:marRight w:val="0"/>
          <w:marTop w:val="0"/>
          <w:marBottom w:val="0"/>
          <w:divBdr>
            <w:top w:val="none" w:sz="0" w:space="0" w:color="auto"/>
            <w:left w:val="none" w:sz="0" w:space="0" w:color="auto"/>
            <w:bottom w:val="none" w:sz="0" w:space="0" w:color="auto"/>
            <w:right w:val="none" w:sz="0" w:space="0" w:color="auto"/>
          </w:divBdr>
        </w:div>
        <w:div w:id="237911900">
          <w:marLeft w:val="0"/>
          <w:marRight w:val="0"/>
          <w:marTop w:val="0"/>
          <w:marBottom w:val="0"/>
          <w:divBdr>
            <w:top w:val="none" w:sz="0" w:space="0" w:color="auto"/>
            <w:left w:val="none" w:sz="0" w:space="0" w:color="auto"/>
            <w:bottom w:val="none" w:sz="0" w:space="0" w:color="auto"/>
            <w:right w:val="none" w:sz="0" w:space="0" w:color="auto"/>
          </w:divBdr>
        </w:div>
        <w:div w:id="443620125">
          <w:marLeft w:val="0"/>
          <w:marRight w:val="0"/>
          <w:marTop w:val="0"/>
          <w:marBottom w:val="0"/>
          <w:divBdr>
            <w:top w:val="none" w:sz="0" w:space="0" w:color="auto"/>
            <w:left w:val="none" w:sz="0" w:space="0" w:color="auto"/>
            <w:bottom w:val="none" w:sz="0" w:space="0" w:color="auto"/>
            <w:right w:val="none" w:sz="0" w:space="0" w:color="auto"/>
          </w:divBdr>
        </w:div>
        <w:div w:id="536939147">
          <w:marLeft w:val="0"/>
          <w:marRight w:val="0"/>
          <w:marTop w:val="0"/>
          <w:marBottom w:val="0"/>
          <w:divBdr>
            <w:top w:val="none" w:sz="0" w:space="0" w:color="auto"/>
            <w:left w:val="none" w:sz="0" w:space="0" w:color="auto"/>
            <w:bottom w:val="none" w:sz="0" w:space="0" w:color="auto"/>
            <w:right w:val="none" w:sz="0" w:space="0" w:color="auto"/>
          </w:divBdr>
        </w:div>
        <w:div w:id="648636041">
          <w:marLeft w:val="0"/>
          <w:marRight w:val="0"/>
          <w:marTop w:val="0"/>
          <w:marBottom w:val="0"/>
          <w:divBdr>
            <w:top w:val="none" w:sz="0" w:space="0" w:color="auto"/>
            <w:left w:val="none" w:sz="0" w:space="0" w:color="auto"/>
            <w:bottom w:val="none" w:sz="0" w:space="0" w:color="auto"/>
            <w:right w:val="none" w:sz="0" w:space="0" w:color="auto"/>
          </w:divBdr>
        </w:div>
        <w:div w:id="714499996">
          <w:marLeft w:val="0"/>
          <w:marRight w:val="0"/>
          <w:marTop w:val="0"/>
          <w:marBottom w:val="0"/>
          <w:divBdr>
            <w:top w:val="none" w:sz="0" w:space="0" w:color="auto"/>
            <w:left w:val="none" w:sz="0" w:space="0" w:color="auto"/>
            <w:bottom w:val="none" w:sz="0" w:space="0" w:color="auto"/>
            <w:right w:val="none" w:sz="0" w:space="0" w:color="auto"/>
          </w:divBdr>
        </w:div>
        <w:div w:id="845174871">
          <w:marLeft w:val="0"/>
          <w:marRight w:val="0"/>
          <w:marTop w:val="0"/>
          <w:marBottom w:val="0"/>
          <w:divBdr>
            <w:top w:val="none" w:sz="0" w:space="0" w:color="auto"/>
            <w:left w:val="none" w:sz="0" w:space="0" w:color="auto"/>
            <w:bottom w:val="none" w:sz="0" w:space="0" w:color="auto"/>
            <w:right w:val="none" w:sz="0" w:space="0" w:color="auto"/>
          </w:divBdr>
        </w:div>
        <w:div w:id="852958942">
          <w:marLeft w:val="0"/>
          <w:marRight w:val="0"/>
          <w:marTop w:val="0"/>
          <w:marBottom w:val="0"/>
          <w:divBdr>
            <w:top w:val="none" w:sz="0" w:space="0" w:color="auto"/>
            <w:left w:val="none" w:sz="0" w:space="0" w:color="auto"/>
            <w:bottom w:val="none" w:sz="0" w:space="0" w:color="auto"/>
            <w:right w:val="none" w:sz="0" w:space="0" w:color="auto"/>
          </w:divBdr>
        </w:div>
        <w:div w:id="880362853">
          <w:marLeft w:val="0"/>
          <w:marRight w:val="0"/>
          <w:marTop w:val="0"/>
          <w:marBottom w:val="0"/>
          <w:divBdr>
            <w:top w:val="none" w:sz="0" w:space="0" w:color="auto"/>
            <w:left w:val="none" w:sz="0" w:space="0" w:color="auto"/>
            <w:bottom w:val="none" w:sz="0" w:space="0" w:color="auto"/>
            <w:right w:val="none" w:sz="0" w:space="0" w:color="auto"/>
          </w:divBdr>
        </w:div>
        <w:div w:id="953168560">
          <w:marLeft w:val="0"/>
          <w:marRight w:val="0"/>
          <w:marTop w:val="0"/>
          <w:marBottom w:val="0"/>
          <w:divBdr>
            <w:top w:val="none" w:sz="0" w:space="0" w:color="auto"/>
            <w:left w:val="none" w:sz="0" w:space="0" w:color="auto"/>
            <w:bottom w:val="none" w:sz="0" w:space="0" w:color="auto"/>
            <w:right w:val="none" w:sz="0" w:space="0" w:color="auto"/>
          </w:divBdr>
        </w:div>
        <w:div w:id="1053502889">
          <w:marLeft w:val="0"/>
          <w:marRight w:val="0"/>
          <w:marTop w:val="0"/>
          <w:marBottom w:val="0"/>
          <w:divBdr>
            <w:top w:val="none" w:sz="0" w:space="0" w:color="auto"/>
            <w:left w:val="none" w:sz="0" w:space="0" w:color="auto"/>
            <w:bottom w:val="none" w:sz="0" w:space="0" w:color="auto"/>
            <w:right w:val="none" w:sz="0" w:space="0" w:color="auto"/>
          </w:divBdr>
        </w:div>
        <w:div w:id="1150175914">
          <w:marLeft w:val="0"/>
          <w:marRight w:val="0"/>
          <w:marTop w:val="0"/>
          <w:marBottom w:val="0"/>
          <w:divBdr>
            <w:top w:val="none" w:sz="0" w:space="0" w:color="auto"/>
            <w:left w:val="none" w:sz="0" w:space="0" w:color="auto"/>
            <w:bottom w:val="none" w:sz="0" w:space="0" w:color="auto"/>
            <w:right w:val="none" w:sz="0" w:space="0" w:color="auto"/>
          </w:divBdr>
        </w:div>
        <w:div w:id="1150903885">
          <w:marLeft w:val="0"/>
          <w:marRight w:val="0"/>
          <w:marTop w:val="0"/>
          <w:marBottom w:val="0"/>
          <w:divBdr>
            <w:top w:val="none" w:sz="0" w:space="0" w:color="auto"/>
            <w:left w:val="none" w:sz="0" w:space="0" w:color="auto"/>
            <w:bottom w:val="none" w:sz="0" w:space="0" w:color="auto"/>
            <w:right w:val="none" w:sz="0" w:space="0" w:color="auto"/>
          </w:divBdr>
        </w:div>
        <w:div w:id="1175069482">
          <w:marLeft w:val="0"/>
          <w:marRight w:val="0"/>
          <w:marTop w:val="0"/>
          <w:marBottom w:val="0"/>
          <w:divBdr>
            <w:top w:val="none" w:sz="0" w:space="0" w:color="auto"/>
            <w:left w:val="none" w:sz="0" w:space="0" w:color="auto"/>
            <w:bottom w:val="none" w:sz="0" w:space="0" w:color="auto"/>
            <w:right w:val="none" w:sz="0" w:space="0" w:color="auto"/>
          </w:divBdr>
        </w:div>
        <w:div w:id="1197504223">
          <w:marLeft w:val="0"/>
          <w:marRight w:val="0"/>
          <w:marTop w:val="0"/>
          <w:marBottom w:val="0"/>
          <w:divBdr>
            <w:top w:val="none" w:sz="0" w:space="0" w:color="auto"/>
            <w:left w:val="none" w:sz="0" w:space="0" w:color="auto"/>
            <w:bottom w:val="none" w:sz="0" w:space="0" w:color="auto"/>
            <w:right w:val="none" w:sz="0" w:space="0" w:color="auto"/>
          </w:divBdr>
        </w:div>
        <w:div w:id="1200388717">
          <w:marLeft w:val="0"/>
          <w:marRight w:val="0"/>
          <w:marTop w:val="0"/>
          <w:marBottom w:val="0"/>
          <w:divBdr>
            <w:top w:val="none" w:sz="0" w:space="0" w:color="auto"/>
            <w:left w:val="none" w:sz="0" w:space="0" w:color="auto"/>
            <w:bottom w:val="none" w:sz="0" w:space="0" w:color="auto"/>
            <w:right w:val="none" w:sz="0" w:space="0" w:color="auto"/>
          </w:divBdr>
        </w:div>
        <w:div w:id="1269584716">
          <w:marLeft w:val="0"/>
          <w:marRight w:val="0"/>
          <w:marTop w:val="0"/>
          <w:marBottom w:val="0"/>
          <w:divBdr>
            <w:top w:val="none" w:sz="0" w:space="0" w:color="auto"/>
            <w:left w:val="none" w:sz="0" w:space="0" w:color="auto"/>
            <w:bottom w:val="none" w:sz="0" w:space="0" w:color="auto"/>
            <w:right w:val="none" w:sz="0" w:space="0" w:color="auto"/>
          </w:divBdr>
        </w:div>
        <w:div w:id="1566450690">
          <w:marLeft w:val="0"/>
          <w:marRight w:val="0"/>
          <w:marTop w:val="0"/>
          <w:marBottom w:val="0"/>
          <w:divBdr>
            <w:top w:val="none" w:sz="0" w:space="0" w:color="auto"/>
            <w:left w:val="none" w:sz="0" w:space="0" w:color="auto"/>
            <w:bottom w:val="none" w:sz="0" w:space="0" w:color="auto"/>
            <w:right w:val="none" w:sz="0" w:space="0" w:color="auto"/>
          </w:divBdr>
        </w:div>
        <w:div w:id="1613046743">
          <w:marLeft w:val="0"/>
          <w:marRight w:val="0"/>
          <w:marTop w:val="0"/>
          <w:marBottom w:val="0"/>
          <w:divBdr>
            <w:top w:val="none" w:sz="0" w:space="0" w:color="auto"/>
            <w:left w:val="none" w:sz="0" w:space="0" w:color="auto"/>
            <w:bottom w:val="none" w:sz="0" w:space="0" w:color="auto"/>
            <w:right w:val="none" w:sz="0" w:space="0" w:color="auto"/>
          </w:divBdr>
        </w:div>
        <w:div w:id="1631594651">
          <w:marLeft w:val="0"/>
          <w:marRight w:val="0"/>
          <w:marTop w:val="0"/>
          <w:marBottom w:val="0"/>
          <w:divBdr>
            <w:top w:val="none" w:sz="0" w:space="0" w:color="auto"/>
            <w:left w:val="none" w:sz="0" w:space="0" w:color="auto"/>
            <w:bottom w:val="none" w:sz="0" w:space="0" w:color="auto"/>
            <w:right w:val="none" w:sz="0" w:space="0" w:color="auto"/>
          </w:divBdr>
        </w:div>
        <w:div w:id="1739283647">
          <w:marLeft w:val="0"/>
          <w:marRight w:val="0"/>
          <w:marTop w:val="0"/>
          <w:marBottom w:val="0"/>
          <w:divBdr>
            <w:top w:val="none" w:sz="0" w:space="0" w:color="auto"/>
            <w:left w:val="none" w:sz="0" w:space="0" w:color="auto"/>
            <w:bottom w:val="none" w:sz="0" w:space="0" w:color="auto"/>
            <w:right w:val="none" w:sz="0" w:space="0" w:color="auto"/>
          </w:divBdr>
        </w:div>
        <w:div w:id="1833985672">
          <w:marLeft w:val="0"/>
          <w:marRight w:val="0"/>
          <w:marTop w:val="0"/>
          <w:marBottom w:val="0"/>
          <w:divBdr>
            <w:top w:val="none" w:sz="0" w:space="0" w:color="auto"/>
            <w:left w:val="none" w:sz="0" w:space="0" w:color="auto"/>
            <w:bottom w:val="none" w:sz="0" w:space="0" w:color="auto"/>
            <w:right w:val="none" w:sz="0" w:space="0" w:color="auto"/>
          </w:divBdr>
        </w:div>
        <w:div w:id="1855146706">
          <w:marLeft w:val="0"/>
          <w:marRight w:val="0"/>
          <w:marTop w:val="0"/>
          <w:marBottom w:val="0"/>
          <w:divBdr>
            <w:top w:val="none" w:sz="0" w:space="0" w:color="auto"/>
            <w:left w:val="none" w:sz="0" w:space="0" w:color="auto"/>
            <w:bottom w:val="none" w:sz="0" w:space="0" w:color="auto"/>
            <w:right w:val="none" w:sz="0" w:space="0" w:color="auto"/>
          </w:divBdr>
        </w:div>
        <w:div w:id="1872836303">
          <w:marLeft w:val="0"/>
          <w:marRight w:val="0"/>
          <w:marTop w:val="0"/>
          <w:marBottom w:val="0"/>
          <w:divBdr>
            <w:top w:val="none" w:sz="0" w:space="0" w:color="auto"/>
            <w:left w:val="none" w:sz="0" w:space="0" w:color="auto"/>
            <w:bottom w:val="none" w:sz="0" w:space="0" w:color="auto"/>
            <w:right w:val="none" w:sz="0" w:space="0" w:color="auto"/>
          </w:divBdr>
        </w:div>
        <w:div w:id="1902519275">
          <w:marLeft w:val="0"/>
          <w:marRight w:val="0"/>
          <w:marTop w:val="0"/>
          <w:marBottom w:val="0"/>
          <w:divBdr>
            <w:top w:val="none" w:sz="0" w:space="0" w:color="auto"/>
            <w:left w:val="none" w:sz="0" w:space="0" w:color="auto"/>
            <w:bottom w:val="none" w:sz="0" w:space="0" w:color="auto"/>
            <w:right w:val="none" w:sz="0" w:space="0" w:color="auto"/>
          </w:divBdr>
        </w:div>
        <w:div w:id="1954942830">
          <w:marLeft w:val="0"/>
          <w:marRight w:val="0"/>
          <w:marTop w:val="0"/>
          <w:marBottom w:val="0"/>
          <w:divBdr>
            <w:top w:val="none" w:sz="0" w:space="0" w:color="auto"/>
            <w:left w:val="none" w:sz="0" w:space="0" w:color="auto"/>
            <w:bottom w:val="none" w:sz="0" w:space="0" w:color="auto"/>
            <w:right w:val="none" w:sz="0" w:space="0" w:color="auto"/>
          </w:divBdr>
        </w:div>
        <w:div w:id="1976138539">
          <w:marLeft w:val="0"/>
          <w:marRight w:val="0"/>
          <w:marTop w:val="0"/>
          <w:marBottom w:val="0"/>
          <w:divBdr>
            <w:top w:val="none" w:sz="0" w:space="0" w:color="auto"/>
            <w:left w:val="none" w:sz="0" w:space="0" w:color="auto"/>
            <w:bottom w:val="none" w:sz="0" w:space="0" w:color="auto"/>
            <w:right w:val="none" w:sz="0" w:space="0" w:color="auto"/>
          </w:divBdr>
        </w:div>
        <w:div w:id="2044402951">
          <w:marLeft w:val="0"/>
          <w:marRight w:val="0"/>
          <w:marTop w:val="0"/>
          <w:marBottom w:val="0"/>
          <w:divBdr>
            <w:top w:val="none" w:sz="0" w:space="0" w:color="auto"/>
            <w:left w:val="none" w:sz="0" w:space="0" w:color="auto"/>
            <w:bottom w:val="none" w:sz="0" w:space="0" w:color="auto"/>
            <w:right w:val="none" w:sz="0" w:space="0" w:color="auto"/>
          </w:divBdr>
        </w:div>
        <w:div w:id="2141193109">
          <w:marLeft w:val="0"/>
          <w:marRight w:val="0"/>
          <w:marTop w:val="0"/>
          <w:marBottom w:val="0"/>
          <w:divBdr>
            <w:top w:val="none" w:sz="0" w:space="0" w:color="auto"/>
            <w:left w:val="none" w:sz="0" w:space="0" w:color="auto"/>
            <w:bottom w:val="none" w:sz="0" w:space="0" w:color="auto"/>
            <w:right w:val="none" w:sz="0" w:space="0" w:color="auto"/>
          </w:divBdr>
        </w:div>
      </w:divsChild>
    </w:div>
    <w:div w:id="1396977454">
      <w:bodyDiv w:val="1"/>
      <w:marLeft w:val="0"/>
      <w:marRight w:val="0"/>
      <w:marTop w:val="0"/>
      <w:marBottom w:val="0"/>
      <w:divBdr>
        <w:top w:val="none" w:sz="0" w:space="0" w:color="auto"/>
        <w:left w:val="none" w:sz="0" w:space="0" w:color="auto"/>
        <w:bottom w:val="none" w:sz="0" w:space="0" w:color="auto"/>
        <w:right w:val="none" w:sz="0" w:space="0" w:color="auto"/>
      </w:divBdr>
      <w:divsChild>
        <w:div w:id="6444082">
          <w:marLeft w:val="0"/>
          <w:marRight w:val="0"/>
          <w:marTop w:val="0"/>
          <w:marBottom w:val="0"/>
          <w:divBdr>
            <w:top w:val="none" w:sz="0" w:space="0" w:color="auto"/>
            <w:left w:val="none" w:sz="0" w:space="0" w:color="auto"/>
            <w:bottom w:val="none" w:sz="0" w:space="0" w:color="auto"/>
            <w:right w:val="none" w:sz="0" w:space="0" w:color="auto"/>
          </w:divBdr>
        </w:div>
        <w:div w:id="38474528">
          <w:marLeft w:val="0"/>
          <w:marRight w:val="0"/>
          <w:marTop w:val="0"/>
          <w:marBottom w:val="0"/>
          <w:divBdr>
            <w:top w:val="none" w:sz="0" w:space="0" w:color="auto"/>
            <w:left w:val="none" w:sz="0" w:space="0" w:color="auto"/>
            <w:bottom w:val="none" w:sz="0" w:space="0" w:color="auto"/>
            <w:right w:val="none" w:sz="0" w:space="0" w:color="auto"/>
          </w:divBdr>
        </w:div>
        <w:div w:id="137962383">
          <w:marLeft w:val="0"/>
          <w:marRight w:val="0"/>
          <w:marTop w:val="0"/>
          <w:marBottom w:val="0"/>
          <w:divBdr>
            <w:top w:val="none" w:sz="0" w:space="0" w:color="auto"/>
            <w:left w:val="none" w:sz="0" w:space="0" w:color="auto"/>
            <w:bottom w:val="none" w:sz="0" w:space="0" w:color="auto"/>
            <w:right w:val="none" w:sz="0" w:space="0" w:color="auto"/>
          </w:divBdr>
        </w:div>
        <w:div w:id="294024689">
          <w:marLeft w:val="0"/>
          <w:marRight w:val="0"/>
          <w:marTop w:val="0"/>
          <w:marBottom w:val="0"/>
          <w:divBdr>
            <w:top w:val="none" w:sz="0" w:space="0" w:color="auto"/>
            <w:left w:val="none" w:sz="0" w:space="0" w:color="auto"/>
            <w:bottom w:val="none" w:sz="0" w:space="0" w:color="auto"/>
            <w:right w:val="none" w:sz="0" w:space="0" w:color="auto"/>
          </w:divBdr>
        </w:div>
        <w:div w:id="297808760">
          <w:marLeft w:val="0"/>
          <w:marRight w:val="0"/>
          <w:marTop w:val="0"/>
          <w:marBottom w:val="0"/>
          <w:divBdr>
            <w:top w:val="none" w:sz="0" w:space="0" w:color="auto"/>
            <w:left w:val="none" w:sz="0" w:space="0" w:color="auto"/>
            <w:bottom w:val="none" w:sz="0" w:space="0" w:color="auto"/>
            <w:right w:val="none" w:sz="0" w:space="0" w:color="auto"/>
          </w:divBdr>
        </w:div>
        <w:div w:id="347873881">
          <w:marLeft w:val="0"/>
          <w:marRight w:val="0"/>
          <w:marTop w:val="0"/>
          <w:marBottom w:val="0"/>
          <w:divBdr>
            <w:top w:val="none" w:sz="0" w:space="0" w:color="auto"/>
            <w:left w:val="none" w:sz="0" w:space="0" w:color="auto"/>
            <w:bottom w:val="none" w:sz="0" w:space="0" w:color="auto"/>
            <w:right w:val="none" w:sz="0" w:space="0" w:color="auto"/>
          </w:divBdr>
        </w:div>
        <w:div w:id="382798796">
          <w:marLeft w:val="0"/>
          <w:marRight w:val="0"/>
          <w:marTop w:val="0"/>
          <w:marBottom w:val="0"/>
          <w:divBdr>
            <w:top w:val="none" w:sz="0" w:space="0" w:color="auto"/>
            <w:left w:val="none" w:sz="0" w:space="0" w:color="auto"/>
            <w:bottom w:val="none" w:sz="0" w:space="0" w:color="auto"/>
            <w:right w:val="none" w:sz="0" w:space="0" w:color="auto"/>
          </w:divBdr>
        </w:div>
        <w:div w:id="386297831">
          <w:marLeft w:val="0"/>
          <w:marRight w:val="0"/>
          <w:marTop w:val="0"/>
          <w:marBottom w:val="0"/>
          <w:divBdr>
            <w:top w:val="none" w:sz="0" w:space="0" w:color="auto"/>
            <w:left w:val="none" w:sz="0" w:space="0" w:color="auto"/>
            <w:bottom w:val="none" w:sz="0" w:space="0" w:color="auto"/>
            <w:right w:val="none" w:sz="0" w:space="0" w:color="auto"/>
          </w:divBdr>
        </w:div>
        <w:div w:id="434788173">
          <w:marLeft w:val="0"/>
          <w:marRight w:val="0"/>
          <w:marTop w:val="0"/>
          <w:marBottom w:val="0"/>
          <w:divBdr>
            <w:top w:val="none" w:sz="0" w:space="0" w:color="auto"/>
            <w:left w:val="none" w:sz="0" w:space="0" w:color="auto"/>
            <w:bottom w:val="none" w:sz="0" w:space="0" w:color="auto"/>
            <w:right w:val="none" w:sz="0" w:space="0" w:color="auto"/>
          </w:divBdr>
        </w:div>
        <w:div w:id="622151821">
          <w:marLeft w:val="0"/>
          <w:marRight w:val="0"/>
          <w:marTop w:val="0"/>
          <w:marBottom w:val="0"/>
          <w:divBdr>
            <w:top w:val="none" w:sz="0" w:space="0" w:color="auto"/>
            <w:left w:val="none" w:sz="0" w:space="0" w:color="auto"/>
            <w:bottom w:val="none" w:sz="0" w:space="0" w:color="auto"/>
            <w:right w:val="none" w:sz="0" w:space="0" w:color="auto"/>
          </w:divBdr>
        </w:div>
        <w:div w:id="698551174">
          <w:marLeft w:val="0"/>
          <w:marRight w:val="0"/>
          <w:marTop w:val="0"/>
          <w:marBottom w:val="0"/>
          <w:divBdr>
            <w:top w:val="none" w:sz="0" w:space="0" w:color="auto"/>
            <w:left w:val="none" w:sz="0" w:space="0" w:color="auto"/>
            <w:bottom w:val="none" w:sz="0" w:space="0" w:color="auto"/>
            <w:right w:val="none" w:sz="0" w:space="0" w:color="auto"/>
          </w:divBdr>
        </w:div>
        <w:div w:id="709040082">
          <w:marLeft w:val="0"/>
          <w:marRight w:val="0"/>
          <w:marTop w:val="0"/>
          <w:marBottom w:val="0"/>
          <w:divBdr>
            <w:top w:val="none" w:sz="0" w:space="0" w:color="auto"/>
            <w:left w:val="none" w:sz="0" w:space="0" w:color="auto"/>
            <w:bottom w:val="none" w:sz="0" w:space="0" w:color="auto"/>
            <w:right w:val="none" w:sz="0" w:space="0" w:color="auto"/>
          </w:divBdr>
        </w:div>
        <w:div w:id="724134883">
          <w:marLeft w:val="0"/>
          <w:marRight w:val="0"/>
          <w:marTop w:val="0"/>
          <w:marBottom w:val="0"/>
          <w:divBdr>
            <w:top w:val="none" w:sz="0" w:space="0" w:color="auto"/>
            <w:left w:val="none" w:sz="0" w:space="0" w:color="auto"/>
            <w:bottom w:val="none" w:sz="0" w:space="0" w:color="auto"/>
            <w:right w:val="none" w:sz="0" w:space="0" w:color="auto"/>
          </w:divBdr>
        </w:div>
        <w:div w:id="750928746">
          <w:marLeft w:val="0"/>
          <w:marRight w:val="0"/>
          <w:marTop w:val="0"/>
          <w:marBottom w:val="0"/>
          <w:divBdr>
            <w:top w:val="none" w:sz="0" w:space="0" w:color="auto"/>
            <w:left w:val="none" w:sz="0" w:space="0" w:color="auto"/>
            <w:bottom w:val="none" w:sz="0" w:space="0" w:color="auto"/>
            <w:right w:val="none" w:sz="0" w:space="0" w:color="auto"/>
          </w:divBdr>
        </w:div>
        <w:div w:id="851182745">
          <w:marLeft w:val="0"/>
          <w:marRight w:val="0"/>
          <w:marTop w:val="0"/>
          <w:marBottom w:val="0"/>
          <w:divBdr>
            <w:top w:val="none" w:sz="0" w:space="0" w:color="auto"/>
            <w:left w:val="none" w:sz="0" w:space="0" w:color="auto"/>
            <w:bottom w:val="none" w:sz="0" w:space="0" w:color="auto"/>
            <w:right w:val="none" w:sz="0" w:space="0" w:color="auto"/>
          </w:divBdr>
        </w:div>
        <w:div w:id="877548053">
          <w:marLeft w:val="0"/>
          <w:marRight w:val="0"/>
          <w:marTop w:val="0"/>
          <w:marBottom w:val="0"/>
          <w:divBdr>
            <w:top w:val="none" w:sz="0" w:space="0" w:color="auto"/>
            <w:left w:val="none" w:sz="0" w:space="0" w:color="auto"/>
            <w:bottom w:val="none" w:sz="0" w:space="0" w:color="auto"/>
            <w:right w:val="none" w:sz="0" w:space="0" w:color="auto"/>
          </w:divBdr>
        </w:div>
        <w:div w:id="923225151">
          <w:marLeft w:val="0"/>
          <w:marRight w:val="0"/>
          <w:marTop w:val="0"/>
          <w:marBottom w:val="0"/>
          <w:divBdr>
            <w:top w:val="none" w:sz="0" w:space="0" w:color="auto"/>
            <w:left w:val="none" w:sz="0" w:space="0" w:color="auto"/>
            <w:bottom w:val="none" w:sz="0" w:space="0" w:color="auto"/>
            <w:right w:val="none" w:sz="0" w:space="0" w:color="auto"/>
          </w:divBdr>
        </w:div>
        <w:div w:id="970398585">
          <w:marLeft w:val="0"/>
          <w:marRight w:val="0"/>
          <w:marTop w:val="0"/>
          <w:marBottom w:val="0"/>
          <w:divBdr>
            <w:top w:val="none" w:sz="0" w:space="0" w:color="auto"/>
            <w:left w:val="none" w:sz="0" w:space="0" w:color="auto"/>
            <w:bottom w:val="none" w:sz="0" w:space="0" w:color="auto"/>
            <w:right w:val="none" w:sz="0" w:space="0" w:color="auto"/>
          </w:divBdr>
        </w:div>
        <w:div w:id="992879087">
          <w:marLeft w:val="0"/>
          <w:marRight w:val="0"/>
          <w:marTop w:val="0"/>
          <w:marBottom w:val="0"/>
          <w:divBdr>
            <w:top w:val="none" w:sz="0" w:space="0" w:color="auto"/>
            <w:left w:val="none" w:sz="0" w:space="0" w:color="auto"/>
            <w:bottom w:val="none" w:sz="0" w:space="0" w:color="auto"/>
            <w:right w:val="none" w:sz="0" w:space="0" w:color="auto"/>
          </w:divBdr>
        </w:div>
        <w:div w:id="1039891304">
          <w:marLeft w:val="0"/>
          <w:marRight w:val="0"/>
          <w:marTop w:val="0"/>
          <w:marBottom w:val="0"/>
          <w:divBdr>
            <w:top w:val="none" w:sz="0" w:space="0" w:color="auto"/>
            <w:left w:val="none" w:sz="0" w:space="0" w:color="auto"/>
            <w:bottom w:val="none" w:sz="0" w:space="0" w:color="auto"/>
            <w:right w:val="none" w:sz="0" w:space="0" w:color="auto"/>
          </w:divBdr>
        </w:div>
        <w:div w:id="1078940606">
          <w:marLeft w:val="0"/>
          <w:marRight w:val="0"/>
          <w:marTop w:val="0"/>
          <w:marBottom w:val="0"/>
          <w:divBdr>
            <w:top w:val="none" w:sz="0" w:space="0" w:color="auto"/>
            <w:left w:val="none" w:sz="0" w:space="0" w:color="auto"/>
            <w:bottom w:val="none" w:sz="0" w:space="0" w:color="auto"/>
            <w:right w:val="none" w:sz="0" w:space="0" w:color="auto"/>
          </w:divBdr>
        </w:div>
        <w:div w:id="1207379045">
          <w:marLeft w:val="0"/>
          <w:marRight w:val="0"/>
          <w:marTop w:val="0"/>
          <w:marBottom w:val="0"/>
          <w:divBdr>
            <w:top w:val="none" w:sz="0" w:space="0" w:color="auto"/>
            <w:left w:val="none" w:sz="0" w:space="0" w:color="auto"/>
            <w:bottom w:val="none" w:sz="0" w:space="0" w:color="auto"/>
            <w:right w:val="none" w:sz="0" w:space="0" w:color="auto"/>
          </w:divBdr>
        </w:div>
        <w:div w:id="1236665279">
          <w:marLeft w:val="0"/>
          <w:marRight w:val="0"/>
          <w:marTop w:val="0"/>
          <w:marBottom w:val="0"/>
          <w:divBdr>
            <w:top w:val="none" w:sz="0" w:space="0" w:color="auto"/>
            <w:left w:val="none" w:sz="0" w:space="0" w:color="auto"/>
            <w:bottom w:val="none" w:sz="0" w:space="0" w:color="auto"/>
            <w:right w:val="none" w:sz="0" w:space="0" w:color="auto"/>
          </w:divBdr>
        </w:div>
        <w:div w:id="1267007662">
          <w:marLeft w:val="0"/>
          <w:marRight w:val="0"/>
          <w:marTop w:val="0"/>
          <w:marBottom w:val="0"/>
          <w:divBdr>
            <w:top w:val="none" w:sz="0" w:space="0" w:color="auto"/>
            <w:left w:val="none" w:sz="0" w:space="0" w:color="auto"/>
            <w:bottom w:val="none" w:sz="0" w:space="0" w:color="auto"/>
            <w:right w:val="none" w:sz="0" w:space="0" w:color="auto"/>
          </w:divBdr>
        </w:div>
        <w:div w:id="1339045377">
          <w:marLeft w:val="0"/>
          <w:marRight w:val="0"/>
          <w:marTop w:val="0"/>
          <w:marBottom w:val="0"/>
          <w:divBdr>
            <w:top w:val="none" w:sz="0" w:space="0" w:color="auto"/>
            <w:left w:val="none" w:sz="0" w:space="0" w:color="auto"/>
            <w:bottom w:val="none" w:sz="0" w:space="0" w:color="auto"/>
            <w:right w:val="none" w:sz="0" w:space="0" w:color="auto"/>
          </w:divBdr>
        </w:div>
        <w:div w:id="1409645234">
          <w:marLeft w:val="0"/>
          <w:marRight w:val="0"/>
          <w:marTop w:val="0"/>
          <w:marBottom w:val="0"/>
          <w:divBdr>
            <w:top w:val="none" w:sz="0" w:space="0" w:color="auto"/>
            <w:left w:val="none" w:sz="0" w:space="0" w:color="auto"/>
            <w:bottom w:val="none" w:sz="0" w:space="0" w:color="auto"/>
            <w:right w:val="none" w:sz="0" w:space="0" w:color="auto"/>
          </w:divBdr>
        </w:div>
        <w:div w:id="1409688689">
          <w:marLeft w:val="0"/>
          <w:marRight w:val="0"/>
          <w:marTop w:val="0"/>
          <w:marBottom w:val="0"/>
          <w:divBdr>
            <w:top w:val="none" w:sz="0" w:space="0" w:color="auto"/>
            <w:left w:val="none" w:sz="0" w:space="0" w:color="auto"/>
            <w:bottom w:val="none" w:sz="0" w:space="0" w:color="auto"/>
            <w:right w:val="none" w:sz="0" w:space="0" w:color="auto"/>
          </w:divBdr>
        </w:div>
        <w:div w:id="1437287214">
          <w:marLeft w:val="0"/>
          <w:marRight w:val="0"/>
          <w:marTop w:val="0"/>
          <w:marBottom w:val="0"/>
          <w:divBdr>
            <w:top w:val="none" w:sz="0" w:space="0" w:color="auto"/>
            <w:left w:val="none" w:sz="0" w:space="0" w:color="auto"/>
            <w:bottom w:val="none" w:sz="0" w:space="0" w:color="auto"/>
            <w:right w:val="none" w:sz="0" w:space="0" w:color="auto"/>
          </w:divBdr>
        </w:div>
        <w:div w:id="1456943119">
          <w:marLeft w:val="0"/>
          <w:marRight w:val="0"/>
          <w:marTop w:val="0"/>
          <w:marBottom w:val="0"/>
          <w:divBdr>
            <w:top w:val="none" w:sz="0" w:space="0" w:color="auto"/>
            <w:left w:val="none" w:sz="0" w:space="0" w:color="auto"/>
            <w:bottom w:val="none" w:sz="0" w:space="0" w:color="auto"/>
            <w:right w:val="none" w:sz="0" w:space="0" w:color="auto"/>
          </w:divBdr>
        </w:div>
        <w:div w:id="1490058607">
          <w:marLeft w:val="0"/>
          <w:marRight w:val="0"/>
          <w:marTop w:val="0"/>
          <w:marBottom w:val="0"/>
          <w:divBdr>
            <w:top w:val="none" w:sz="0" w:space="0" w:color="auto"/>
            <w:left w:val="none" w:sz="0" w:space="0" w:color="auto"/>
            <w:bottom w:val="none" w:sz="0" w:space="0" w:color="auto"/>
            <w:right w:val="none" w:sz="0" w:space="0" w:color="auto"/>
          </w:divBdr>
        </w:div>
        <w:div w:id="1521814138">
          <w:marLeft w:val="0"/>
          <w:marRight w:val="0"/>
          <w:marTop w:val="0"/>
          <w:marBottom w:val="0"/>
          <w:divBdr>
            <w:top w:val="none" w:sz="0" w:space="0" w:color="auto"/>
            <w:left w:val="none" w:sz="0" w:space="0" w:color="auto"/>
            <w:bottom w:val="none" w:sz="0" w:space="0" w:color="auto"/>
            <w:right w:val="none" w:sz="0" w:space="0" w:color="auto"/>
          </w:divBdr>
        </w:div>
        <w:div w:id="1587688742">
          <w:marLeft w:val="0"/>
          <w:marRight w:val="0"/>
          <w:marTop w:val="0"/>
          <w:marBottom w:val="0"/>
          <w:divBdr>
            <w:top w:val="none" w:sz="0" w:space="0" w:color="auto"/>
            <w:left w:val="none" w:sz="0" w:space="0" w:color="auto"/>
            <w:bottom w:val="none" w:sz="0" w:space="0" w:color="auto"/>
            <w:right w:val="none" w:sz="0" w:space="0" w:color="auto"/>
          </w:divBdr>
        </w:div>
        <w:div w:id="1589147342">
          <w:marLeft w:val="0"/>
          <w:marRight w:val="0"/>
          <w:marTop w:val="0"/>
          <w:marBottom w:val="0"/>
          <w:divBdr>
            <w:top w:val="none" w:sz="0" w:space="0" w:color="auto"/>
            <w:left w:val="none" w:sz="0" w:space="0" w:color="auto"/>
            <w:bottom w:val="none" w:sz="0" w:space="0" w:color="auto"/>
            <w:right w:val="none" w:sz="0" w:space="0" w:color="auto"/>
          </w:divBdr>
        </w:div>
        <w:div w:id="1703629658">
          <w:marLeft w:val="0"/>
          <w:marRight w:val="0"/>
          <w:marTop w:val="0"/>
          <w:marBottom w:val="0"/>
          <w:divBdr>
            <w:top w:val="none" w:sz="0" w:space="0" w:color="auto"/>
            <w:left w:val="none" w:sz="0" w:space="0" w:color="auto"/>
            <w:bottom w:val="none" w:sz="0" w:space="0" w:color="auto"/>
            <w:right w:val="none" w:sz="0" w:space="0" w:color="auto"/>
          </w:divBdr>
        </w:div>
        <w:div w:id="1708329823">
          <w:marLeft w:val="0"/>
          <w:marRight w:val="0"/>
          <w:marTop w:val="0"/>
          <w:marBottom w:val="0"/>
          <w:divBdr>
            <w:top w:val="none" w:sz="0" w:space="0" w:color="auto"/>
            <w:left w:val="none" w:sz="0" w:space="0" w:color="auto"/>
            <w:bottom w:val="none" w:sz="0" w:space="0" w:color="auto"/>
            <w:right w:val="none" w:sz="0" w:space="0" w:color="auto"/>
          </w:divBdr>
        </w:div>
        <w:div w:id="1729186412">
          <w:marLeft w:val="0"/>
          <w:marRight w:val="0"/>
          <w:marTop w:val="0"/>
          <w:marBottom w:val="0"/>
          <w:divBdr>
            <w:top w:val="none" w:sz="0" w:space="0" w:color="auto"/>
            <w:left w:val="none" w:sz="0" w:space="0" w:color="auto"/>
            <w:bottom w:val="none" w:sz="0" w:space="0" w:color="auto"/>
            <w:right w:val="none" w:sz="0" w:space="0" w:color="auto"/>
          </w:divBdr>
        </w:div>
        <w:div w:id="1775513083">
          <w:marLeft w:val="0"/>
          <w:marRight w:val="0"/>
          <w:marTop w:val="0"/>
          <w:marBottom w:val="0"/>
          <w:divBdr>
            <w:top w:val="none" w:sz="0" w:space="0" w:color="auto"/>
            <w:left w:val="none" w:sz="0" w:space="0" w:color="auto"/>
            <w:bottom w:val="none" w:sz="0" w:space="0" w:color="auto"/>
            <w:right w:val="none" w:sz="0" w:space="0" w:color="auto"/>
          </w:divBdr>
        </w:div>
        <w:div w:id="1796562188">
          <w:marLeft w:val="0"/>
          <w:marRight w:val="0"/>
          <w:marTop w:val="0"/>
          <w:marBottom w:val="0"/>
          <w:divBdr>
            <w:top w:val="none" w:sz="0" w:space="0" w:color="auto"/>
            <w:left w:val="none" w:sz="0" w:space="0" w:color="auto"/>
            <w:bottom w:val="none" w:sz="0" w:space="0" w:color="auto"/>
            <w:right w:val="none" w:sz="0" w:space="0" w:color="auto"/>
          </w:divBdr>
        </w:div>
        <w:div w:id="1978027717">
          <w:marLeft w:val="0"/>
          <w:marRight w:val="0"/>
          <w:marTop w:val="0"/>
          <w:marBottom w:val="0"/>
          <w:divBdr>
            <w:top w:val="none" w:sz="0" w:space="0" w:color="auto"/>
            <w:left w:val="none" w:sz="0" w:space="0" w:color="auto"/>
            <w:bottom w:val="none" w:sz="0" w:space="0" w:color="auto"/>
            <w:right w:val="none" w:sz="0" w:space="0" w:color="auto"/>
          </w:divBdr>
        </w:div>
        <w:div w:id="2033146280">
          <w:marLeft w:val="0"/>
          <w:marRight w:val="0"/>
          <w:marTop w:val="0"/>
          <w:marBottom w:val="0"/>
          <w:divBdr>
            <w:top w:val="none" w:sz="0" w:space="0" w:color="auto"/>
            <w:left w:val="none" w:sz="0" w:space="0" w:color="auto"/>
            <w:bottom w:val="none" w:sz="0" w:space="0" w:color="auto"/>
            <w:right w:val="none" w:sz="0" w:space="0" w:color="auto"/>
          </w:divBdr>
        </w:div>
        <w:div w:id="2088845446">
          <w:marLeft w:val="0"/>
          <w:marRight w:val="0"/>
          <w:marTop w:val="0"/>
          <w:marBottom w:val="0"/>
          <w:divBdr>
            <w:top w:val="none" w:sz="0" w:space="0" w:color="auto"/>
            <w:left w:val="none" w:sz="0" w:space="0" w:color="auto"/>
            <w:bottom w:val="none" w:sz="0" w:space="0" w:color="auto"/>
            <w:right w:val="none" w:sz="0" w:space="0" w:color="auto"/>
          </w:divBdr>
        </w:div>
        <w:div w:id="2097359751">
          <w:marLeft w:val="0"/>
          <w:marRight w:val="0"/>
          <w:marTop w:val="0"/>
          <w:marBottom w:val="0"/>
          <w:divBdr>
            <w:top w:val="none" w:sz="0" w:space="0" w:color="auto"/>
            <w:left w:val="none" w:sz="0" w:space="0" w:color="auto"/>
            <w:bottom w:val="none" w:sz="0" w:space="0" w:color="auto"/>
            <w:right w:val="none" w:sz="0" w:space="0" w:color="auto"/>
          </w:divBdr>
        </w:div>
        <w:div w:id="2103187248">
          <w:marLeft w:val="0"/>
          <w:marRight w:val="0"/>
          <w:marTop w:val="0"/>
          <w:marBottom w:val="0"/>
          <w:divBdr>
            <w:top w:val="none" w:sz="0" w:space="0" w:color="auto"/>
            <w:left w:val="none" w:sz="0" w:space="0" w:color="auto"/>
            <w:bottom w:val="none" w:sz="0" w:space="0" w:color="auto"/>
            <w:right w:val="none" w:sz="0" w:space="0" w:color="auto"/>
          </w:divBdr>
        </w:div>
        <w:div w:id="2134321260">
          <w:marLeft w:val="0"/>
          <w:marRight w:val="0"/>
          <w:marTop w:val="0"/>
          <w:marBottom w:val="0"/>
          <w:divBdr>
            <w:top w:val="none" w:sz="0" w:space="0" w:color="auto"/>
            <w:left w:val="none" w:sz="0" w:space="0" w:color="auto"/>
            <w:bottom w:val="none" w:sz="0" w:space="0" w:color="auto"/>
            <w:right w:val="none" w:sz="0" w:space="0" w:color="auto"/>
          </w:divBdr>
        </w:div>
      </w:divsChild>
    </w:div>
    <w:div w:id="1441031461">
      <w:bodyDiv w:val="1"/>
      <w:marLeft w:val="0"/>
      <w:marRight w:val="0"/>
      <w:marTop w:val="0"/>
      <w:marBottom w:val="0"/>
      <w:divBdr>
        <w:top w:val="none" w:sz="0" w:space="0" w:color="auto"/>
        <w:left w:val="none" w:sz="0" w:space="0" w:color="auto"/>
        <w:bottom w:val="none" w:sz="0" w:space="0" w:color="auto"/>
        <w:right w:val="none" w:sz="0" w:space="0" w:color="auto"/>
      </w:divBdr>
      <w:divsChild>
        <w:div w:id="883060095">
          <w:marLeft w:val="0"/>
          <w:marRight w:val="0"/>
          <w:marTop w:val="0"/>
          <w:marBottom w:val="0"/>
          <w:divBdr>
            <w:top w:val="none" w:sz="0" w:space="0" w:color="auto"/>
            <w:left w:val="none" w:sz="0" w:space="0" w:color="auto"/>
            <w:bottom w:val="none" w:sz="0" w:space="0" w:color="auto"/>
            <w:right w:val="none" w:sz="0" w:space="0" w:color="auto"/>
          </w:divBdr>
        </w:div>
        <w:div w:id="1055279804">
          <w:marLeft w:val="0"/>
          <w:marRight w:val="0"/>
          <w:marTop w:val="0"/>
          <w:marBottom w:val="0"/>
          <w:divBdr>
            <w:top w:val="none" w:sz="0" w:space="0" w:color="auto"/>
            <w:left w:val="none" w:sz="0" w:space="0" w:color="auto"/>
            <w:bottom w:val="none" w:sz="0" w:space="0" w:color="auto"/>
            <w:right w:val="none" w:sz="0" w:space="0" w:color="auto"/>
          </w:divBdr>
        </w:div>
        <w:div w:id="1126238695">
          <w:marLeft w:val="0"/>
          <w:marRight w:val="0"/>
          <w:marTop w:val="0"/>
          <w:marBottom w:val="0"/>
          <w:divBdr>
            <w:top w:val="none" w:sz="0" w:space="0" w:color="auto"/>
            <w:left w:val="none" w:sz="0" w:space="0" w:color="auto"/>
            <w:bottom w:val="none" w:sz="0" w:space="0" w:color="auto"/>
            <w:right w:val="none" w:sz="0" w:space="0" w:color="auto"/>
          </w:divBdr>
        </w:div>
        <w:div w:id="1673147298">
          <w:marLeft w:val="0"/>
          <w:marRight w:val="0"/>
          <w:marTop w:val="0"/>
          <w:marBottom w:val="0"/>
          <w:divBdr>
            <w:top w:val="none" w:sz="0" w:space="0" w:color="auto"/>
            <w:left w:val="none" w:sz="0" w:space="0" w:color="auto"/>
            <w:bottom w:val="none" w:sz="0" w:space="0" w:color="auto"/>
            <w:right w:val="none" w:sz="0" w:space="0" w:color="auto"/>
          </w:divBdr>
        </w:div>
      </w:divsChild>
    </w:div>
    <w:div w:id="1441875578">
      <w:bodyDiv w:val="1"/>
      <w:marLeft w:val="0"/>
      <w:marRight w:val="0"/>
      <w:marTop w:val="0"/>
      <w:marBottom w:val="0"/>
      <w:divBdr>
        <w:top w:val="none" w:sz="0" w:space="0" w:color="auto"/>
        <w:left w:val="none" w:sz="0" w:space="0" w:color="auto"/>
        <w:bottom w:val="none" w:sz="0" w:space="0" w:color="auto"/>
        <w:right w:val="none" w:sz="0" w:space="0" w:color="auto"/>
      </w:divBdr>
      <w:divsChild>
        <w:div w:id="15348336">
          <w:marLeft w:val="0"/>
          <w:marRight w:val="0"/>
          <w:marTop w:val="0"/>
          <w:marBottom w:val="0"/>
          <w:divBdr>
            <w:top w:val="none" w:sz="0" w:space="0" w:color="auto"/>
            <w:left w:val="none" w:sz="0" w:space="0" w:color="auto"/>
            <w:bottom w:val="none" w:sz="0" w:space="0" w:color="auto"/>
            <w:right w:val="none" w:sz="0" w:space="0" w:color="auto"/>
          </w:divBdr>
        </w:div>
        <w:div w:id="62073851">
          <w:marLeft w:val="0"/>
          <w:marRight w:val="0"/>
          <w:marTop w:val="0"/>
          <w:marBottom w:val="0"/>
          <w:divBdr>
            <w:top w:val="none" w:sz="0" w:space="0" w:color="auto"/>
            <w:left w:val="none" w:sz="0" w:space="0" w:color="auto"/>
            <w:bottom w:val="none" w:sz="0" w:space="0" w:color="auto"/>
            <w:right w:val="none" w:sz="0" w:space="0" w:color="auto"/>
          </w:divBdr>
        </w:div>
        <w:div w:id="128129080">
          <w:marLeft w:val="0"/>
          <w:marRight w:val="0"/>
          <w:marTop w:val="0"/>
          <w:marBottom w:val="0"/>
          <w:divBdr>
            <w:top w:val="none" w:sz="0" w:space="0" w:color="auto"/>
            <w:left w:val="none" w:sz="0" w:space="0" w:color="auto"/>
            <w:bottom w:val="none" w:sz="0" w:space="0" w:color="auto"/>
            <w:right w:val="none" w:sz="0" w:space="0" w:color="auto"/>
          </w:divBdr>
        </w:div>
        <w:div w:id="163907415">
          <w:marLeft w:val="0"/>
          <w:marRight w:val="0"/>
          <w:marTop w:val="0"/>
          <w:marBottom w:val="0"/>
          <w:divBdr>
            <w:top w:val="none" w:sz="0" w:space="0" w:color="auto"/>
            <w:left w:val="none" w:sz="0" w:space="0" w:color="auto"/>
            <w:bottom w:val="none" w:sz="0" w:space="0" w:color="auto"/>
            <w:right w:val="none" w:sz="0" w:space="0" w:color="auto"/>
          </w:divBdr>
        </w:div>
        <w:div w:id="331565140">
          <w:marLeft w:val="0"/>
          <w:marRight w:val="0"/>
          <w:marTop w:val="0"/>
          <w:marBottom w:val="0"/>
          <w:divBdr>
            <w:top w:val="none" w:sz="0" w:space="0" w:color="auto"/>
            <w:left w:val="none" w:sz="0" w:space="0" w:color="auto"/>
            <w:bottom w:val="none" w:sz="0" w:space="0" w:color="auto"/>
            <w:right w:val="none" w:sz="0" w:space="0" w:color="auto"/>
          </w:divBdr>
        </w:div>
        <w:div w:id="345447298">
          <w:marLeft w:val="0"/>
          <w:marRight w:val="0"/>
          <w:marTop w:val="0"/>
          <w:marBottom w:val="0"/>
          <w:divBdr>
            <w:top w:val="none" w:sz="0" w:space="0" w:color="auto"/>
            <w:left w:val="none" w:sz="0" w:space="0" w:color="auto"/>
            <w:bottom w:val="none" w:sz="0" w:space="0" w:color="auto"/>
            <w:right w:val="none" w:sz="0" w:space="0" w:color="auto"/>
          </w:divBdr>
        </w:div>
        <w:div w:id="395903631">
          <w:marLeft w:val="0"/>
          <w:marRight w:val="0"/>
          <w:marTop w:val="0"/>
          <w:marBottom w:val="0"/>
          <w:divBdr>
            <w:top w:val="none" w:sz="0" w:space="0" w:color="auto"/>
            <w:left w:val="none" w:sz="0" w:space="0" w:color="auto"/>
            <w:bottom w:val="none" w:sz="0" w:space="0" w:color="auto"/>
            <w:right w:val="none" w:sz="0" w:space="0" w:color="auto"/>
          </w:divBdr>
        </w:div>
        <w:div w:id="453060894">
          <w:marLeft w:val="0"/>
          <w:marRight w:val="0"/>
          <w:marTop w:val="0"/>
          <w:marBottom w:val="0"/>
          <w:divBdr>
            <w:top w:val="none" w:sz="0" w:space="0" w:color="auto"/>
            <w:left w:val="none" w:sz="0" w:space="0" w:color="auto"/>
            <w:bottom w:val="none" w:sz="0" w:space="0" w:color="auto"/>
            <w:right w:val="none" w:sz="0" w:space="0" w:color="auto"/>
          </w:divBdr>
        </w:div>
        <w:div w:id="527068816">
          <w:marLeft w:val="0"/>
          <w:marRight w:val="0"/>
          <w:marTop w:val="0"/>
          <w:marBottom w:val="0"/>
          <w:divBdr>
            <w:top w:val="none" w:sz="0" w:space="0" w:color="auto"/>
            <w:left w:val="none" w:sz="0" w:space="0" w:color="auto"/>
            <w:bottom w:val="none" w:sz="0" w:space="0" w:color="auto"/>
            <w:right w:val="none" w:sz="0" w:space="0" w:color="auto"/>
          </w:divBdr>
        </w:div>
        <w:div w:id="528371265">
          <w:marLeft w:val="0"/>
          <w:marRight w:val="0"/>
          <w:marTop w:val="0"/>
          <w:marBottom w:val="0"/>
          <w:divBdr>
            <w:top w:val="none" w:sz="0" w:space="0" w:color="auto"/>
            <w:left w:val="none" w:sz="0" w:space="0" w:color="auto"/>
            <w:bottom w:val="none" w:sz="0" w:space="0" w:color="auto"/>
            <w:right w:val="none" w:sz="0" w:space="0" w:color="auto"/>
          </w:divBdr>
        </w:div>
        <w:div w:id="612052515">
          <w:marLeft w:val="0"/>
          <w:marRight w:val="0"/>
          <w:marTop w:val="0"/>
          <w:marBottom w:val="0"/>
          <w:divBdr>
            <w:top w:val="none" w:sz="0" w:space="0" w:color="auto"/>
            <w:left w:val="none" w:sz="0" w:space="0" w:color="auto"/>
            <w:bottom w:val="none" w:sz="0" w:space="0" w:color="auto"/>
            <w:right w:val="none" w:sz="0" w:space="0" w:color="auto"/>
          </w:divBdr>
        </w:div>
        <w:div w:id="625894019">
          <w:marLeft w:val="0"/>
          <w:marRight w:val="0"/>
          <w:marTop w:val="0"/>
          <w:marBottom w:val="0"/>
          <w:divBdr>
            <w:top w:val="none" w:sz="0" w:space="0" w:color="auto"/>
            <w:left w:val="none" w:sz="0" w:space="0" w:color="auto"/>
            <w:bottom w:val="none" w:sz="0" w:space="0" w:color="auto"/>
            <w:right w:val="none" w:sz="0" w:space="0" w:color="auto"/>
          </w:divBdr>
        </w:div>
        <w:div w:id="655035284">
          <w:marLeft w:val="0"/>
          <w:marRight w:val="0"/>
          <w:marTop w:val="0"/>
          <w:marBottom w:val="0"/>
          <w:divBdr>
            <w:top w:val="none" w:sz="0" w:space="0" w:color="auto"/>
            <w:left w:val="none" w:sz="0" w:space="0" w:color="auto"/>
            <w:bottom w:val="none" w:sz="0" w:space="0" w:color="auto"/>
            <w:right w:val="none" w:sz="0" w:space="0" w:color="auto"/>
          </w:divBdr>
        </w:div>
        <w:div w:id="726759555">
          <w:marLeft w:val="0"/>
          <w:marRight w:val="0"/>
          <w:marTop w:val="0"/>
          <w:marBottom w:val="0"/>
          <w:divBdr>
            <w:top w:val="none" w:sz="0" w:space="0" w:color="auto"/>
            <w:left w:val="none" w:sz="0" w:space="0" w:color="auto"/>
            <w:bottom w:val="none" w:sz="0" w:space="0" w:color="auto"/>
            <w:right w:val="none" w:sz="0" w:space="0" w:color="auto"/>
          </w:divBdr>
        </w:div>
        <w:div w:id="844366610">
          <w:marLeft w:val="0"/>
          <w:marRight w:val="0"/>
          <w:marTop w:val="0"/>
          <w:marBottom w:val="0"/>
          <w:divBdr>
            <w:top w:val="none" w:sz="0" w:space="0" w:color="auto"/>
            <w:left w:val="none" w:sz="0" w:space="0" w:color="auto"/>
            <w:bottom w:val="none" w:sz="0" w:space="0" w:color="auto"/>
            <w:right w:val="none" w:sz="0" w:space="0" w:color="auto"/>
          </w:divBdr>
        </w:div>
        <w:div w:id="862403510">
          <w:marLeft w:val="0"/>
          <w:marRight w:val="0"/>
          <w:marTop w:val="0"/>
          <w:marBottom w:val="0"/>
          <w:divBdr>
            <w:top w:val="none" w:sz="0" w:space="0" w:color="auto"/>
            <w:left w:val="none" w:sz="0" w:space="0" w:color="auto"/>
            <w:bottom w:val="none" w:sz="0" w:space="0" w:color="auto"/>
            <w:right w:val="none" w:sz="0" w:space="0" w:color="auto"/>
          </w:divBdr>
        </w:div>
        <w:div w:id="903947500">
          <w:marLeft w:val="0"/>
          <w:marRight w:val="0"/>
          <w:marTop w:val="0"/>
          <w:marBottom w:val="0"/>
          <w:divBdr>
            <w:top w:val="none" w:sz="0" w:space="0" w:color="auto"/>
            <w:left w:val="none" w:sz="0" w:space="0" w:color="auto"/>
            <w:bottom w:val="none" w:sz="0" w:space="0" w:color="auto"/>
            <w:right w:val="none" w:sz="0" w:space="0" w:color="auto"/>
          </w:divBdr>
        </w:div>
        <w:div w:id="914162974">
          <w:marLeft w:val="0"/>
          <w:marRight w:val="0"/>
          <w:marTop w:val="0"/>
          <w:marBottom w:val="0"/>
          <w:divBdr>
            <w:top w:val="none" w:sz="0" w:space="0" w:color="auto"/>
            <w:left w:val="none" w:sz="0" w:space="0" w:color="auto"/>
            <w:bottom w:val="none" w:sz="0" w:space="0" w:color="auto"/>
            <w:right w:val="none" w:sz="0" w:space="0" w:color="auto"/>
          </w:divBdr>
        </w:div>
        <w:div w:id="952714760">
          <w:marLeft w:val="0"/>
          <w:marRight w:val="0"/>
          <w:marTop w:val="0"/>
          <w:marBottom w:val="0"/>
          <w:divBdr>
            <w:top w:val="none" w:sz="0" w:space="0" w:color="auto"/>
            <w:left w:val="none" w:sz="0" w:space="0" w:color="auto"/>
            <w:bottom w:val="none" w:sz="0" w:space="0" w:color="auto"/>
            <w:right w:val="none" w:sz="0" w:space="0" w:color="auto"/>
          </w:divBdr>
        </w:div>
        <w:div w:id="1116676062">
          <w:marLeft w:val="0"/>
          <w:marRight w:val="0"/>
          <w:marTop w:val="0"/>
          <w:marBottom w:val="0"/>
          <w:divBdr>
            <w:top w:val="none" w:sz="0" w:space="0" w:color="auto"/>
            <w:left w:val="none" w:sz="0" w:space="0" w:color="auto"/>
            <w:bottom w:val="none" w:sz="0" w:space="0" w:color="auto"/>
            <w:right w:val="none" w:sz="0" w:space="0" w:color="auto"/>
          </w:divBdr>
        </w:div>
        <w:div w:id="1151483082">
          <w:marLeft w:val="0"/>
          <w:marRight w:val="0"/>
          <w:marTop w:val="0"/>
          <w:marBottom w:val="0"/>
          <w:divBdr>
            <w:top w:val="none" w:sz="0" w:space="0" w:color="auto"/>
            <w:left w:val="none" w:sz="0" w:space="0" w:color="auto"/>
            <w:bottom w:val="none" w:sz="0" w:space="0" w:color="auto"/>
            <w:right w:val="none" w:sz="0" w:space="0" w:color="auto"/>
          </w:divBdr>
        </w:div>
        <w:div w:id="1167987233">
          <w:marLeft w:val="0"/>
          <w:marRight w:val="0"/>
          <w:marTop w:val="0"/>
          <w:marBottom w:val="0"/>
          <w:divBdr>
            <w:top w:val="none" w:sz="0" w:space="0" w:color="auto"/>
            <w:left w:val="none" w:sz="0" w:space="0" w:color="auto"/>
            <w:bottom w:val="none" w:sz="0" w:space="0" w:color="auto"/>
            <w:right w:val="none" w:sz="0" w:space="0" w:color="auto"/>
          </w:divBdr>
        </w:div>
        <w:div w:id="1196967939">
          <w:marLeft w:val="0"/>
          <w:marRight w:val="0"/>
          <w:marTop w:val="0"/>
          <w:marBottom w:val="0"/>
          <w:divBdr>
            <w:top w:val="none" w:sz="0" w:space="0" w:color="auto"/>
            <w:left w:val="none" w:sz="0" w:space="0" w:color="auto"/>
            <w:bottom w:val="none" w:sz="0" w:space="0" w:color="auto"/>
            <w:right w:val="none" w:sz="0" w:space="0" w:color="auto"/>
          </w:divBdr>
        </w:div>
        <w:div w:id="1211268347">
          <w:marLeft w:val="0"/>
          <w:marRight w:val="0"/>
          <w:marTop w:val="0"/>
          <w:marBottom w:val="0"/>
          <w:divBdr>
            <w:top w:val="none" w:sz="0" w:space="0" w:color="auto"/>
            <w:left w:val="none" w:sz="0" w:space="0" w:color="auto"/>
            <w:bottom w:val="none" w:sz="0" w:space="0" w:color="auto"/>
            <w:right w:val="none" w:sz="0" w:space="0" w:color="auto"/>
          </w:divBdr>
        </w:div>
        <w:div w:id="1218467043">
          <w:marLeft w:val="0"/>
          <w:marRight w:val="0"/>
          <w:marTop w:val="0"/>
          <w:marBottom w:val="0"/>
          <w:divBdr>
            <w:top w:val="none" w:sz="0" w:space="0" w:color="auto"/>
            <w:left w:val="none" w:sz="0" w:space="0" w:color="auto"/>
            <w:bottom w:val="none" w:sz="0" w:space="0" w:color="auto"/>
            <w:right w:val="none" w:sz="0" w:space="0" w:color="auto"/>
          </w:divBdr>
        </w:div>
        <w:div w:id="1233546355">
          <w:marLeft w:val="0"/>
          <w:marRight w:val="0"/>
          <w:marTop w:val="0"/>
          <w:marBottom w:val="0"/>
          <w:divBdr>
            <w:top w:val="none" w:sz="0" w:space="0" w:color="auto"/>
            <w:left w:val="none" w:sz="0" w:space="0" w:color="auto"/>
            <w:bottom w:val="none" w:sz="0" w:space="0" w:color="auto"/>
            <w:right w:val="none" w:sz="0" w:space="0" w:color="auto"/>
          </w:divBdr>
        </w:div>
        <w:div w:id="1356612918">
          <w:marLeft w:val="0"/>
          <w:marRight w:val="0"/>
          <w:marTop w:val="0"/>
          <w:marBottom w:val="0"/>
          <w:divBdr>
            <w:top w:val="none" w:sz="0" w:space="0" w:color="auto"/>
            <w:left w:val="none" w:sz="0" w:space="0" w:color="auto"/>
            <w:bottom w:val="none" w:sz="0" w:space="0" w:color="auto"/>
            <w:right w:val="none" w:sz="0" w:space="0" w:color="auto"/>
          </w:divBdr>
        </w:div>
        <w:div w:id="1360859404">
          <w:marLeft w:val="0"/>
          <w:marRight w:val="0"/>
          <w:marTop w:val="0"/>
          <w:marBottom w:val="0"/>
          <w:divBdr>
            <w:top w:val="none" w:sz="0" w:space="0" w:color="auto"/>
            <w:left w:val="none" w:sz="0" w:space="0" w:color="auto"/>
            <w:bottom w:val="none" w:sz="0" w:space="0" w:color="auto"/>
            <w:right w:val="none" w:sz="0" w:space="0" w:color="auto"/>
          </w:divBdr>
        </w:div>
        <w:div w:id="1373458815">
          <w:marLeft w:val="0"/>
          <w:marRight w:val="0"/>
          <w:marTop w:val="0"/>
          <w:marBottom w:val="0"/>
          <w:divBdr>
            <w:top w:val="none" w:sz="0" w:space="0" w:color="auto"/>
            <w:left w:val="none" w:sz="0" w:space="0" w:color="auto"/>
            <w:bottom w:val="none" w:sz="0" w:space="0" w:color="auto"/>
            <w:right w:val="none" w:sz="0" w:space="0" w:color="auto"/>
          </w:divBdr>
        </w:div>
        <w:div w:id="1425569919">
          <w:marLeft w:val="0"/>
          <w:marRight w:val="0"/>
          <w:marTop w:val="0"/>
          <w:marBottom w:val="0"/>
          <w:divBdr>
            <w:top w:val="none" w:sz="0" w:space="0" w:color="auto"/>
            <w:left w:val="none" w:sz="0" w:space="0" w:color="auto"/>
            <w:bottom w:val="none" w:sz="0" w:space="0" w:color="auto"/>
            <w:right w:val="none" w:sz="0" w:space="0" w:color="auto"/>
          </w:divBdr>
        </w:div>
        <w:div w:id="1480685298">
          <w:marLeft w:val="0"/>
          <w:marRight w:val="0"/>
          <w:marTop w:val="0"/>
          <w:marBottom w:val="0"/>
          <w:divBdr>
            <w:top w:val="none" w:sz="0" w:space="0" w:color="auto"/>
            <w:left w:val="none" w:sz="0" w:space="0" w:color="auto"/>
            <w:bottom w:val="none" w:sz="0" w:space="0" w:color="auto"/>
            <w:right w:val="none" w:sz="0" w:space="0" w:color="auto"/>
          </w:divBdr>
        </w:div>
        <w:div w:id="1598293961">
          <w:marLeft w:val="0"/>
          <w:marRight w:val="0"/>
          <w:marTop w:val="0"/>
          <w:marBottom w:val="0"/>
          <w:divBdr>
            <w:top w:val="none" w:sz="0" w:space="0" w:color="auto"/>
            <w:left w:val="none" w:sz="0" w:space="0" w:color="auto"/>
            <w:bottom w:val="none" w:sz="0" w:space="0" w:color="auto"/>
            <w:right w:val="none" w:sz="0" w:space="0" w:color="auto"/>
          </w:divBdr>
        </w:div>
        <w:div w:id="1639528250">
          <w:marLeft w:val="0"/>
          <w:marRight w:val="0"/>
          <w:marTop w:val="0"/>
          <w:marBottom w:val="0"/>
          <w:divBdr>
            <w:top w:val="none" w:sz="0" w:space="0" w:color="auto"/>
            <w:left w:val="none" w:sz="0" w:space="0" w:color="auto"/>
            <w:bottom w:val="none" w:sz="0" w:space="0" w:color="auto"/>
            <w:right w:val="none" w:sz="0" w:space="0" w:color="auto"/>
          </w:divBdr>
        </w:div>
        <w:div w:id="1663007294">
          <w:marLeft w:val="0"/>
          <w:marRight w:val="0"/>
          <w:marTop w:val="0"/>
          <w:marBottom w:val="0"/>
          <w:divBdr>
            <w:top w:val="none" w:sz="0" w:space="0" w:color="auto"/>
            <w:left w:val="none" w:sz="0" w:space="0" w:color="auto"/>
            <w:bottom w:val="none" w:sz="0" w:space="0" w:color="auto"/>
            <w:right w:val="none" w:sz="0" w:space="0" w:color="auto"/>
          </w:divBdr>
        </w:div>
        <w:div w:id="2126802276">
          <w:marLeft w:val="0"/>
          <w:marRight w:val="0"/>
          <w:marTop w:val="0"/>
          <w:marBottom w:val="0"/>
          <w:divBdr>
            <w:top w:val="none" w:sz="0" w:space="0" w:color="auto"/>
            <w:left w:val="none" w:sz="0" w:space="0" w:color="auto"/>
            <w:bottom w:val="none" w:sz="0" w:space="0" w:color="auto"/>
            <w:right w:val="none" w:sz="0" w:space="0" w:color="auto"/>
          </w:divBdr>
        </w:div>
      </w:divsChild>
    </w:div>
    <w:div w:id="1497913374">
      <w:bodyDiv w:val="1"/>
      <w:marLeft w:val="0"/>
      <w:marRight w:val="0"/>
      <w:marTop w:val="0"/>
      <w:marBottom w:val="0"/>
      <w:divBdr>
        <w:top w:val="none" w:sz="0" w:space="0" w:color="auto"/>
        <w:left w:val="none" w:sz="0" w:space="0" w:color="auto"/>
        <w:bottom w:val="none" w:sz="0" w:space="0" w:color="auto"/>
        <w:right w:val="none" w:sz="0" w:space="0" w:color="auto"/>
      </w:divBdr>
    </w:div>
    <w:div w:id="1809319611">
      <w:bodyDiv w:val="1"/>
      <w:marLeft w:val="0"/>
      <w:marRight w:val="0"/>
      <w:marTop w:val="0"/>
      <w:marBottom w:val="0"/>
      <w:divBdr>
        <w:top w:val="none" w:sz="0" w:space="0" w:color="auto"/>
        <w:left w:val="none" w:sz="0" w:space="0" w:color="auto"/>
        <w:bottom w:val="none" w:sz="0" w:space="0" w:color="auto"/>
        <w:right w:val="none" w:sz="0" w:space="0" w:color="auto"/>
      </w:divBdr>
    </w:div>
    <w:div w:id="1897859983">
      <w:bodyDiv w:val="1"/>
      <w:marLeft w:val="0"/>
      <w:marRight w:val="0"/>
      <w:marTop w:val="0"/>
      <w:marBottom w:val="0"/>
      <w:divBdr>
        <w:top w:val="none" w:sz="0" w:space="0" w:color="auto"/>
        <w:left w:val="none" w:sz="0" w:space="0" w:color="auto"/>
        <w:bottom w:val="none" w:sz="0" w:space="0" w:color="auto"/>
        <w:right w:val="none" w:sz="0" w:space="0" w:color="auto"/>
      </w:divBdr>
      <w:divsChild>
        <w:div w:id="39211492">
          <w:marLeft w:val="0"/>
          <w:marRight w:val="0"/>
          <w:marTop w:val="0"/>
          <w:marBottom w:val="0"/>
          <w:divBdr>
            <w:top w:val="none" w:sz="0" w:space="0" w:color="auto"/>
            <w:left w:val="none" w:sz="0" w:space="0" w:color="auto"/>
            <w:bottom w:val="none" w:sz="0" w:space="0" w:color="auto"/>
            <w:right w:val="none" w:sz="0" w:space="0" w:color="auto"/>
          </w:divBdr>
        </w:div>
        <w:div w:id="109517276">
          <w:marLeft w:val="0"/>
          <w:marRight w:val="0"/>
          <w:marTop w:val="0"/>
          <w:marBottom w:val="0"/>
          <w:divBdr>
            <w:top w:val="none" w:sz="0" w:space="0" w:color="auto"/>
            <w:left w:val="none" w:sz="0" w:space="0" w:color="auto"/>
            <w:bottom w:val="none" w:sz="0" w:space="0" w:color="auto"/>
            <w:right w:val="none" w:sz="0" w:space="0" w:color="auto"/>
          </w:divBdr>
        </w:div>
        <w:div w:id="160391325">
          <w:marLeft w:val="0"/>
          <w:marRight w:val="0"/>
          <w:marTop w:val="0"/>
          <w:marBottom w:val="0"/>
          <w:divBdr>
            <w:top w:val="none" w:sz="0" w:space="0" w:color="auto"/>
            <w:left w:val="none" w:sz="0" w:space="0" w:color="auto"/>
            <w:bottom w:val="none" w:sz="0" w:space="0" w:color="auto"/>
            <w:right w:val="none" w:sz="0" w:space="0" w:color="auto"/>
          </w:divBdr>
        </w:div>
        <w:div w:id="226114796">
          <w:marLeft w:val="0"/>
          <w:marRight w:val="0"/>
          <w:marTop w:val="0"/>
          <w:marBottom w:val="0"/>
          <w:divBdr>
            <w:top w:val="none" w:sz="0" w:space="0" w:color="auto"/>
            <w:left w:val="none" w:sz="0" w:space="0" w:color="auto"/>
            <w:bottom w:val="none" w:sz="0" w:space="0" w:color="auto"/>
            <w:right w:val="none" w:sz="0" w:space="0" w:color="auto"/>
          </w:divBdr>
        </w:div>
        <w:div w:id="423842919">
          <w:marLeft w:val="0"/>
          <w:marRight w:val="0"/>
          <w:marTop w:val="0"/>
          <w:marBottom w:val="0"/>
          <w:divBdr>
            <w:top w:val="none" w:sz="0" w:space="0" w:color="auto"/>
            <w:left w:val="none" w:sz="0" w:space="0" w:color="auto"/>
            <w:bottom w:val="none" w:sz="0" w:space="0" w:color="auto"/>
            <w:right w:val="none" w:sz="0" w:space="0" w:color="auto"/>
          </w:divBdr>
        </w:div>
        <w:div w:id="517619084">
          <w:marLeft w:val="0"/>
          <w:marRight w:val="0"/>
          <w:marTop w:val="0"/>
          <w:marBottom w:val="0"/>
          <w:divBdr>
            <w:top w:val="none" w:sz="0" w:space="0" w:color="auto"/>
            <w:left w:val="none" w:sz="0" w:space="0" w:color="auto"/>
            <w:bottom w:val="none" w:sz="0" w:space="0" w:color="auto"/>
            <w:right w:val="none" w:sz="0" w:space="0" w:color="auto"/>
          </w:divBdr>
        </w:div>
        <w:div w:id="615067012">
          <w:marLeft w:val="0"/>
          <w:marRight w:val="0"/>
          <w:marTop w:val="0"/>
          <w:marBottom w:val="0"/>
          <w:divBdr>
            <w:top w:val="none" w:sz="0" w:space="0" w:color="auto"/>
            <w:left w:val="none" w:sz="0" w:space="0" w:color="auto"/>
            <w:bottom w:val="none" w:sz="0" w:space="0" w:color="auto"/>
            <w:right w:val="none" w:sz="0" w:space="0" w:color="auto"/>
          </w:divBdr>
        </w:div>
        <w:div w:id="698436104">
          <w:marLeft w:val="0"/>
          <w:marRight w:val="0"/>
          <w:marTop w:val="0"/>
          <w:marBottom w:val="0"/>
          <w:divBdr>
            <w:top w:val="none" w:sz="0" w:space="0" w:color="auto"/>
            <w:left w:val="none" w:sz="0" w:space="0" w:color="auto"/>
            <w:bottom w:val="none" w:sz="0" w:space="0" w:color="auto"/>
            <w:right w:val="none" w:sz="0" w:space="0" w:color="auto"/>
          </w:divBdr>
        </w:div>
        <w:div w:id="880436380">
          <w:marLeft w:val="0"/>
          <w:marRight w:val="0"/>
          <w:marTop w:val="0"/>
          <w:marBottom w:val="0"/>
          <w:divBdr>
            <w:top w:val="none" w:sz="0" w:space="0" w:color="auto"/>
            <w:left w:val="none" w:sz="0" w:space="0" w:color="auto"/>
            <w:bottom w:val="none" w:sz="0" w:space="0" w:color="auto"/>
            <w:right w:val="none" w:sz="0" w:space="0" w:color="auto"/>
          </w:divBdr>
        </w:div>
        <w:div w:id="881672865">
          <w:marLeft w:val="0"/>
          <w:marRight w:val="0"/>
          <w:marTop w:val="0"/>
          <w:marBottom w:val="0"/>
          <w:divBdr>
            <w:top w:val="none" w:sz="0" w:space="0" w:color="auto"/>
            <w:left w:val="none" w:sz="0" w:space="0" w:color="auto"/>
            <w:bottom w:val="none" w:sz="0" w:space="0" w:color="auto"/>
            <w:right w:val="none" w:sz="0" w:space="0" w:color="auto"/>
          </w:divBdr>
        </w:div>
        <w:div w:id="952401841">
          <w:marLeft w:val="0"/>
          <w:marRight w:val="0"/>
          <w:marTop w:val="0"/>
          <w:marBottom w:val="0"/>
          <w:divBdr>
            <w:top w:val="none" w:sz="0" w:space="0" w:color="auto"/>
            <w:left w:val="none" w:sz="0" w:space="0" w:color="auto"/>
            <w:bottom w:val="none" w:sz="0" w:space="0" w:color="auto"/>
            <w:right w:val="none" w:sz="0" w:space="0" w:color="auto"/>
          </w:divBdr>
        </w:div>
        <w:div w:id="988751560">
          <w:marLeft w:val="0"/>
          <w:marRight w:val="0"/>
          <w:marTop w:val="0"/>
          <w:marBottom w:val="0"/>
          <w:divBdr>
            <w:top w:val="none" w:sz="0" w:space="0" w:color="auto"/>
            <w:left w:val="none" w:sz="0" w:space="0" w:color="auto"/>
            <w:bottom w:val="none" w:sz="0" w:space="0" w:color="auto"/>
            <w:right w:val="none" w:sz="0" w:space="0" w:color="auto"/>
          </w:divBdr>
        </w:div>
        <w:div w:id="1049039553">
          <w:marLeft w:val="0"/>
          <w:marRight w:val="0"/>
          <w:marTop w:val="0"/>
          <w:marBottom w:val="0"/>
          <w:divBdr>
            <w:top w:val="none" w:sz="0" w:space="0" w:color="auto"/>
            <w:left w:val="none" w:sz="0" w:space="0" w:color="auto"/>
            <w:bottom w:val="none" w:sz="0" w:space="0" w:color="auto"/>
            <w:right w:val="none" w:sz="0" w:space="0" w:color="auto"/>
          </w:divBdr>
        </w:div>
        <w:div w:id="1079521613">
          <w:marLeft w:val="0"/>
          <w:marRight w:val="0"/>
          <w:marTop w:val="0"/>
          <w:marBottom w:val="0"/>
          <w:divBdr>
            <w:top w:val="none" w:sz="0" w:space="0" w:color="auto"/>
            <w:left w:val="none" w:sz="0" w:space="0" w:color="auto"/>
            <w:bottom w:val="none" w:sz="0" w:space="0" w:color="auto"/>
            <w:right w:val="none" w:sz="0" w:space="0" w:color="auto"/>
          </w:divBdr>
        </w:div>
        <w:div w:id="1158378342">
          <w:marLeft w:val="0"/>
          <w:marRight w:val="0"/>
          <w:marTop w:val="0"/>
          <w:marBottom w:val="0"/>
          <w:divBdr>
            <w:top w:val="none" w:sz="0" w:space="0" w:color="auto"/>
            <w:left w:val="none" w:sz="0" w:space="0" w:color="auto"/>
            <w:bottom w:val="none" w:sz="0" w:space="0" w:color="auto"/>
            <w:right w:val="none" w:sz="0" w:space="0" w:color="auto"/>
          </w:divBdr>
        </w:div>
        <w:div w:id="1235894953">
          <w:marLeft w:val="0"/>
          <w:marRight w:val="0"/>
          <w:marTop w:val="0"/>
          <w:marBottom w:val="0"/>
          <w:divBdr>
            <w:top w:val="none" w:sz="0" w:space="0" w:color="auto"/>
            <w:left w:val="none" w:sz="0" w:space="0" w:color="auto"/>
            <w:bottom w:val="none" w:sz="0" w:space="0" w:color="auto"/>
            <w:right w:val="none" w:sz="0" w:space="0" w:color="auto"/>
          </w:divBdr>
        </w:div>
        <w:div w:id="1534885208">
          <w:marLeft w:val="0"/>
          <w:marRight w:val="0"/>
          <w:marTop w:val="0"/>
          <w:marBottom w:val="0"/>
          <w:divBdr>
            <w:top w:val="none" w:sz="0" w:space="0" w:color="auto"/>
            <w:left w:val="none" w:sz="0" w:space="0" w:color="auto"/>
            <w:bottom w:val="none" w:sz="0" w:space="0" w:color="auto"/>
            <w:right w:val="none" w:sz="0" w:space="0" w:color="auto"/>
          </w:divBdr>
        </w:div>
        <w:div w:id="1543908088">
          <w:marLeft w:val="0"/>
          <w:marRight w:val="0"/>
          <w:marTop w:val="0"/>
          <w:marBottom w:val="0"/>
          <w:divBdr>
            <w:top w:val="none" w:sz="0" w:space="0" w:color="auto"/>
            <w:left w:val="none" w:sz="0" w:space="0" w:color="auto"/>
            <w:bottom w:val="none" w:sz="0" w:space="0" w:color="auto"/>
            <w:right w:val="none" w:sz="0" w:space="0" w:color="auto"/>
          </w:divBdr>
        </w:div>
        <w:div w:id="1565680888">
          <w:marLeft w:val="0"/>
          <w:marRight w:val="0"/>
          <w:marTop w:val="0"/>
          <w:marBottom w:val="0"/>
          <w:divBdr>
            <w:top w:val="none" w:sz="0" w:space="0" w:color="auto"/>
            <w:left w:val="none" w:sz="0" w:space="0" w:color="auto"/>
            <w:bottom w:val="none" w:sz="0" w:space="0" w:color="auto"/>
            <w:right w:val="none" w:sz="0" w:space="0" w:color="auto"/>
          </w:divBdr>
        </w:div>
        <w:div w:id="1632443037">
          <w:marLeft w:val="0"/>
          <w:marRight w:val="0"/>
          <w:marTop w:val="0"/>
          <w:marBottom w:val="0"/>
          <w:divBdr>
            <w:top w:val="none" w:sz="0" w:space="0" w:color="auto"/>
            <w:left w:val="none" w:sz="0" w:space="0" w:color="auto"/>
            <w:bottom w:val="none" w:sz="0" w:space="0" w:color="auto"/>
            <w:right w:val="none" w:sz="0" w:space="0" w:color="auto"/>
          </w:divBdr>
        </w:div>
        <w:div w:id="1681615116">
          <w:marLeft w:val="0"/>
          <w:marRight w:val="0"/>
          <w:marTop w:val="0"/>
          <w:marBottom w:val="0"/>
          <w:divBdr>
            <w:top w:val="none" w:sz="0" w:space="0" w:color="auto"/>
            <w:left w:val="none" w:sz="0" w:space="0" w:color="auto"/>
            <w:bottom w:val="none" w:sz="0" w:space="0" w:color="auto"/>
            <w:right w:val="none" w:sz="0" w:space="0" w:color="auto"/>
          </w:divBdr>
        </w:div>
        <w:div w:id="2136630137">
          <w:marLeft w:val="0"/>
          <w:marRight w:val="0"/>
          <w:marTop w:val="0"/>
          <w:marBottom w:val="0"/>
          <w:divBdr>
            <w:top w:val="none" w:sz="0" w:space="0" w:color="auto"/>
            <w:left w:val="none" w:sz="0" w:space="0" w:color="auto"/>
            <w:bottom w:val="none" w:sz="0" w:space="0" w:color="auto"/>
            <w:right w:val="none" w:sz="0" w:space="0" w:color="auto"/>
          </w:divBdr>
        </w:div>
      </w:divsChild>
    </w:div>
    <w:div w:id="1988433626">
      <w:bodyDiv w:val="1"/>
      <w:marLeft w:val="0"/>
      <w:marRight w:val="0"/>
      <w:marTop w:val="0"/>
      <w:marBottom w:val="0"/>
      <w:divBdr>
        <w:top w:val="none" w:sz="0" w:space="0" w:color="auto"/>
        <w:left w:val="none" w:sz="0" w:space="0" w:color="auto"/>
        <w:bottom w:val="none" w:sz="0" w:space="0" w:color="auto"/>
        <w:right w:val="none" w:sz="0" w:space="0" w:color="auto"/>
      </w:divBdr>
      <w:divsChild>
        <w:div w:id="33970069">
          <w:marLeft w:val="0"/>
          <w:marRight w:val="0"/>
          <w:marTop w:val="0"/>
          <w:marBottom w:val="0"/>
          <w:divBdr>
            <w:top w:val="none" w:sz="0" w:space="0" w:color="auto"/>
            <w:left w:val="none" w:sz="0" w:space="0" w:color="auto"/>
            <w:bottom w:val="none" w:sz="0" w:space="0" w:color="auto"/>
            <w:right w:val="none" w:sz="0" w:space="0" w:color="auto"/>
          </w:divBdr>
        </w:div>
        <w:div w:id="152109269">
          <w:marLeft w:val="0"/>
          <w:marRight w:val="0"/>
          <w:marTop w:val="0"/>
          <w:marBottom w:val="0"/>
          <w:divBdr>
            <w:top w:val="none" w:sz="0" w:space="0" w:color="auto"/>
            <w:left w:val="none" w:sz="0" w:space="0" w:color="auto"/>
            <w:bottom w:val="none" w:sz="0" w:space="0" w:color="auto"/>
            <w:right w:val="none" w:sz="0" w:space="0" w:color="auto"/>
          </w:divBdr>
        </w:div>
        <w:div w:id="398409802">
          <w:marLeft w:val="0"/>
          <w:marRight w:val="0"/>
          <w:marTop w:val="0"/>
          <w:marBottom w:val="0"/>
          <w:divBdr>
            <w:top w:val="none" w:sz="0" w:space="0" w:color="auto"/>
            <w:left w:val="none" w:sz="0" w:space="0" w:color="auto"/>
            <w:bottom w:val="none" w:sz="0" w:space="0" w:color="auto"/>
            <w:right w:val="none" w:sz="0" w:space="0" w:color="auto"/>
          </w:divBdr>
        </w:div>
        <w:div w:id="427428389">
          <w:marLeft w:val="0"/>
          <w:marRight w:val="0"/>
          <w:marTop w:val="0"/>
          <w:marBottom w:val="0"/>
          <w:divBdr>
            <w:top w:val="none" w:sz="0" w:space="0" w:color="auto"/>
            <w:left w:val="none" w:sz="0" w:space="0" w:color="auto"/>
            <w:bottom w:val="none" w:sz="0" w:space="0" w:color="auto"/>
            <w:right w:val="none" w:sz="0" w:space="0" w:color="auto"/>
          </w:divBdr>
        </w:div>
        <w:div w:id="579411019">
          <w:marLeft w:val="0"/>
          <w:marRight w:val="0"/>
          <w:marTop w:val="0"/>
          <w:marBottom w:val="0"/>
          <w:divBdr>
            <w:top w:val="none" w:sz="0" w:space="0" w:color="auto"/>
            <w:left w:val="none" w:sz="0" w:space="0" w:color="auto"/>
            <w:bottom w:val="none" w:sz="0" w:space="0" w:color="auto"/>
            <w:right w:val="none" w:sz="0" w:space="0" w:color="auto"/>
          </w:divBdr>
        </w:div>
        <w:div w:id="597493422">
          <w:marLeft w:val="0"/>
          <w:marRight w:val="0"/>
          <w:marTop w:val="0"/>
          <w:marBottom w:val="0"/>
          <w:divBdr>
            <w:top w:val="none" w:sz="0" w:space="0" w:color="auto"/>
            <w:left w:val="none" w:sz="0" w:space="0" w:color="auto"/>
            <w:bottom w:val="none" w:sz="0" w:space="0" w:color="auto"/>
            <w:right w:val="none" w:sz="0" w:space="0" w:color="auto"/>
          </w:divBdr>
        </w:div>
        <w:div w:id="648872818">
          <w:marLeft w:val="0"/>
          <w:marRight w:val="0"/>
          <w:marTop w:val="0"/>
          <w:marBottom w:val="0"/>
          <w:divBdr>
            <w:top w:val="none" w:sz="0" w:space="0" w:color="auto"/>
            <w:left w:val="none" w:sz="0" w:space="0" w:color="auto"/>
            <w:bottom w:val="none" w:sz="0" w:space="0" w:color="auto"/>
            <w:right w:val="none" w:sz="0" w:space="0" w:color="auto"/>
          </w:divBdr>
        </w:div>
        <w:div w:id="696465626">
          <w:marLeft w:val="0"/>
          <w:marRight w:val="0"/>
          <w:marTop w:val="0"/>
          <w:marBottom w:val="0"/>
          <w:divBdr>
            <w:top w:val="none" w:sz="0" w:space="0" w:color="auto"/>
            <w:left w:val="none" w:sz="0" w:space="0" w:color="auto"/>
            <w:bottom w:val="none" w:sz="0" w:space="0" w:color="auto"/>
            <w:right w:val="none" w:sz="0" w:space="0" w:color="auto"/>
          </w:divBdr>
        </w:div>
        <w:div w:id="816261865">
          <w:marLeft w:val="0"/>
          <w:marRight w:val="0"/>
          <w:marTop w:val="0"/>
          <w:marBottom w:val="0"/>
          <w:divBdr>
            <w:top w:val="none" w:sz="0" w:space="0" w:color="auto"/>
            <w:left w:val="none" w:sz="0" w:space="0" w:color="auto"/>
            <w:bottom w:val="none" w:sz="0" w:space="0" w:color="auto"/>
            <w:right w:val="none" w:sz="0" w:space="0" w:color="auto"/>
          </w:divBdr>
        </w:div>
        <w:div w:id="979383342">
          <w:marLeft w:val="0"/>
          <w:marRight w:val="0"/>
          <w:marTop w:val="0"/>
          <w:marBottom w:val="0"/>
          <w:divBdr>
            <w:top w:val="none" w:sz="0" w:space="0" w:color="auto"/>
            <w:left w:val="none" w:sz="0" w:space="0" w:color="auto"/>
            <w:bottom w:val="none" w:sz="0" w:space="0" w:color="auto"/>
            <w:right w:val="none" w:sz="0" w:space="0" w:color="auto"/>
          </w:divBdr>
        </w:div>
        <w:div w:id="1023552835">
          <w:marLeft w:val="0"/>
          <w:marRight w:val="0"/>
          <w:marTop w:val="0"/>
          <w:marBottom w:val="0"/>
          <w:divBdr>
            <w:top w:val="none" w:sz="0" w:space="0" w:color="auto"/>
            <w:left w:val="none" w:sz="0" w:space="0" w:color="auto"/>
            <w:bottom w:val="none" w:sz="0" w:space="0" w:color="auto"/>
            <w:right w:val="none" w:sz="0" w:space="0" w:color="auto"/>
          </w:divBdr>
        </w:div>
        <w:div w:id="1269628941">
          <w:marLeft w:val="0"/>
          <w:marRight w:val="0"/>
          <w:marTop w:val="0"/>
          <w:marBottom w:val="0"/>
          <w:divBdr>
            <w:top w:val="none" w:sz="0" w:space="0" w:color="auto"/>
            <w:left w:val="none" w:sz="0" w:space="0" w:color="auto"/>
            <w:bottom w:val="none" w:sz="0" w:space="0" w:color="auto"/>
            <w:right w:val="none" w:sz="0" w:space="0" w:color="auto"/>
          </w:divBdr>
        </w:div>
        <w:div w:id="1504472188">
          <w:marLeft w:val="0"/>
          <w:marRight w:val="0"/>
          <w:marTop w:val="0"/>
          <w:marBottom w:val="0"/>
          <w:divBdr>
            <w:top w:val="none" w:sz="0" w:space="0" w:color="auto"/>
            <w:left w:val="none" w:sz="0" w:space="0" w:color="auto"/>
            <w:bottom w:val="none" w:sz="0" w:space="0" w:color="auto"/>
            <w:right w:val="none" w:sz="0" w:space="0" w:color="auto"/>
          </w:divBdr>
        </w:div>
        <w:div w:id="1507093897">
          <w:marLeft w:val="0"/>
          <w:marRight w:val="0"/>
          <w:marTop w:val="0"/>
          <w:marBottom w:val="0"/>
          <w:divBdr>
            <w:top w:val="none" w:sz="0" w:space="0" w:color="auto"/>
            <w:left w:val="none" w:sz="0" w:space="0" w:color="auto"/>
            <w:bottom w:val="none" w:sz="0" w:space="0" w:color="auto"/>
            <w:right w:val="none" w:sz="0" w:space="0" w:color="auto"/>
          </w:divBdr>
        </w:div>
        <w:div w:id="1687442059">
          <w:marLeft w:val="0"/>
          <w:marRight w:val="0"/>
          <w:marTop w:val="0"/>
          <w:marBottom w:val="0"/>
          <w:divBdr>
            <w:top w:val="none" w:sz="0" w:space="0" w:color="auto"/>
            <w:left w:val="none" w:sz="0" w:space="0" w:color="auto"/>
            <w:bottom w:val="none" w:sz="0" w:space="0" w:color="auto"/>
            <w:right w:val="none" w:sz="0" w:space="0" w:color="auto"/>
          </w:divBdr>
        </w:div>
        <w:div w:id="1749618793">
          <w:marLeft w:val="0"/>
          <w:marRight w:val="0"/>
          <w:marTop w:val="0"/>
          <w:marBottom w:val="0"/>
          <w:divBdr>
            <w:top w:val="none" w:sz="0" w:space="0" w:color="auto"/>
            <w:left w:val="none" w:sz="0" w:space="0" w:color="auto"/>
            <w:bottom w:val="none" w:sz="0" w:space="0" w:color="auto"/>
            <w:right w:val="none" w:sz="0" w:space="0" w:color="auto"/>
          </w:divBdr>
        </w:div>
        <w:div w:id="1788042856">
          <w:marLeft w:val="0"/>
          <w:marRight w:val="0"/>
          <w:marTop w:val="0"/>
          <w:marBottom w:val="0"/>
          <w:divBdr>
            <w:top w:val="none" w:sz="0" w:space="0" w:color="auto"/>
            <w:left w:val="none" w:sz="0" w:space="0" w:color="auto"/>
            <w:bottom w:val="none" w:sz="0" w:space="0" w:color="auto"/>
            <w:right w:val="none" w:sz="0" w:space="0" w:color="auto"/>
          </w:divBdr>
        </w:div>
        <w:div w:id="2023582608">
          <w:marLeft w:val="0"/>
          <w:marRight w:val="0"/>
          <w:marTop w:val="0"/>
          <w:marBottom w:val="0"/>
          <w:divBdr>
            <w:top w:val="none" w:sz="0" w:space="0" w:color="auto"/>
            <w:left w:val="none" w:sz="0" w:space="0" w:color="auto"/>
            <w:bottom w:val="none" w:sz="0" w:space="0" w:color="auto"/>
            <w:right w:val="none" w:sz="0" w:space="0" w:color="auto"/>
          </w:divBdr>
        </w:div>
        <w:div w:id="2057922119">
          <w:marLeft w:val="0"/>
          <w:marRight w:val="0"/>
          <w:marTop w:val="0"/>
          <w:marBottom w:val="0"/>
          <w:divBdr>
            <w:top w:val="none" w:sz="0" w:space="0" w:color="auto"/>
            <w:left w:val="none" w:sz="0" w:space="0" w:color="auto"/>
            <w:bottom w:val="none" w:sz="0" w:space="0" w:color="auto"/>
            <w:right w:val="none" w:sz="0" w:space="0" w:color="auto"/>
          </w:divBdr>
        </w:div>
        <w:div w:id="2096783349">
          <w:marLeft w:val="0"/>
          <w:marRight w:val="0"/>
          <w:marTop w:val="0"/>
          <w:marBottom w:val="0"/>
          <w:divBdr>
            <w:top w:val="none" w:sz="0" w:space="0" w:color="auto"/>
            <w:left w:val="none" w:sz="0" w:space="0" w:color="auto"/>
            <w:bottom w:val="none" w:sz="0" w:space="0" w:color="auto"/>
            <w:right w:val="none" w:sz="0" w:space="0" w:color="auto"/>
          </w:divBdr>
        </w:div>
      </w:divsChild>
    </w:div>
    <w:div w:id="2011177863">
      <w:bodyDiv w:val="1"/>
      <w:marLeft w:val="0"/>
      <w:marRight w:val="0"/>
      <w:marTop w:val="0"/>
      <w:marBottom w:val="0"/>
      <w:divBdr>
        <w:top w:val="none" w:sz="0" w:space="0" w:color="auto"/>
        <w:left w:val="none" w:sz="0" w:space="0" w:color="auto"/>
        <w:bottom w:val="none" w:sz="0" w:space="0" w:color="auto"/>
        <w:right w:val="none" w:sz="0" w:space="0" w:color="auto"/>
      </w:divBdr>
    </w:div>
    <w:div w:id="2087218939">
      <w:bodyDiv w:val="1"/>
      <w:marLeft w:val="0"/>
      <w:marRight w:val="0"/>
      <w:marTop w:val="0"/>
      <w:marBottom w:val="0"/>
      <w:divBdr>
        <w:top w:val="none" w:sz="0" w:space="0" w:color="auto"/>
        <w:left w:val="none" w:sz="0" w:space="0" w:color="auto"/>
        <w:bottom w:val="none" w:sz="0" w:space="0" w:color="auto"/>
        <w:right w:val="none" w:sz="0" w:space="0" w:color="auto"/>
      </w:divBdr>
    </w:div>
    <w:div w:id="213786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1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image" Target="media/image2.jpeg"/><Relationship Id="rId19" Type="http://schemas.openxmlformats.org/officeDocument/2006/relationships/chart" Target="charts/chart7.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sability-europe.net/" TargetMode="Externa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hyperlink" Target="http://eur-lex.europa.eu/legal-content/EN/TXT/?uri=uriserv:OJ.L_.2013.347.01.0320.01.E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npd.gov.ro/web/informatii-publice/lista-unitati-protejate/" TargetMode="External"/><Relationship Id="rId13" Type="http://schemas.openxmlformats.org/officeDocument/2006/relationships/hyperlink" Target="http://www.mmuncii.ro/j33/images/Documente/Proiecte_in_dezbatere/2014/2014-12-29-HG_Anexa-SN-DPPD.pdf" TargetMode="External"/><Relationship Id="rId18" Type="http://schemas.openxmlformats.org/officeDocument/2006/relationships/hyperlink" Target="https://www.news.ro/social/protest-al-persoanelor-cu-dizabilitati-la-ministerul-muncii-fata-de-adoptarea-oug-60-vrem-sa-muncim-nu-sa-cersim-reactia-ministerului-muncii-1924404122002017081317162509" TargetMode="External"/><Relationship Id="rId26" Type="http://schemas.openxmlformats.org/officeDocument/2006/relationships/hyperlink" Target="https://ec.europa.eu/info/sites/info/files/2017-european-semester-country-specific-recommendations-commission-recommendations_-_romania.pdf" TargetMode="External"/><Relationship Id="rId39" Type="http://schemas.openxmlformats.org/officeDocument/2006/relationships/hyperlink" Target="http://www.fonduri-ue.ro/apeluri/details/2/31/apeluri-4-1-dezvoltare-local%C4%83-integrat%C4%83-dli-360-grade-%C3%AEn-comunit%C4%83%C8%9Bile-marginalizate-%C3%AEn-care-exist%C4%83-popula%C8%9Bie-apar%C8%9Bin%C3%A2nd-minorit%C4%83%C8%9Bii-rome-regiuni-mai-pu%C8%9Bin-dezvoltate?start=20" TargetMode="External"/><Relationship Id="rId3" Type="http://schemas.openxmlformats.org/officeDocument/2006/relationships/hyperlink" Target="http://www.mmuncii.ro/j33/index.php/ro/transparenta/proiecte-in-dezbatere/4076-2015-10-08-proiecthg-strateg-diz" TargetMode="External"/><Relationship Id="rId21" Type="http://schemas.openxmlformats.org/officeDocument/2006/relationships/hyperlink" Target="http://beta.edu.ro/sprijin-financiar-pentru-sus%C5%A3inerea-integr%C4%83rii-copiilor-cu-cerin%C5%A3e-educa%C5%A3ionale-speciale-integra%C5%A3i" TargetMode="External"/><Relationship Id="rId34" Type="http://schemas.openxmlformats.org/officeDocument/2006/relationships/hyperlink" Target="http://www.fonduri-ue.ro/images/files/implementare-absorbtie/Anexa_1-Stadiul_absorbtiei_pentru_Programele_Operationale_la_31.07.2016.pdf" TargetMode="External"/><Relationship Id="rId7" Type="http://schemas.openxmlformats.org/officeDocument/2006/relationships/hyperlink" Target="http://anpd.gov.ro/web/transparenta/statistici/trimestriale/%20" TargetMode="External"/><Relationship Id="rId12" Type="http://schemas.openxmlformats.org/officeDocument/2006/relationships/hyperlink" Target="http://www.ipp.ro/wp-content/uploads/2015/07/IPP_Funda%C8%9Bia-Speran%C8%9Ba-_Raport-educatie-incluziva-pentru-copiii-cu-dizabilitati.pdf" TargetMode="External"/><Relationship Id="rId17" Type="http://schemas.openxmlformats.org/officeDocument/2006/relationships/hyperlink" Target="http://anpd.gov.ro/web/comunicat/" TargetMode="External"/><Relationship Id="rId25" Type="http://schemas.openxmlformats.org/officeDocument/2006/relationships/hyperlink" Target="http://www.mmuncii.ro/j33/images/Documente/Transparenta/Dezbateri_publice/2015-04-17_Anexa1_ProiectHG_SIS.pdf" TargetMode="External"/><Relationship Id="rId33" Type="http://schemas.openxmlformats.org/officeDocument/2006/relationships/hyperlink" Target="http://www.mmuncii.ro/j33/index.php/ro/2014-domenii/protectie-sociala/ppd" TargetMode="External"/><Relationship Id="rId38" Type="http://schemas.openxmlformats.org/officeDocument/2006/relationships/hyperlink" Target="http://www.fonduri-ue.ro/pocu-2014" TargetMode="External"/><Relationship Id="rId2" Type="http://schemas.openxmlformats.org/officeDocument/2006/relationships/hyperlink" Target="http://ec.europa.eu/europe2020/pdf/targets_en.pdf" TargetMode="External"/><Relationship Id="rId16" Type="http://schemas.openxmlformats.org/officeDocument/2006/relationships/hyperlink" Target="https://www.valahia.ro/ro/admitere-ro/118-admitere" TargetMode="External"/><Relationship Id="rId20" Type="http://schemas.openxmlformats.org/officeDocument/2006/relationships/hyperlink" Target="http://www.copii.ro/statistici-2017/" TargetMode="External"/><Relationship Id="rId29" Type="http://schemas.openxmlformats.org/officeDocument/2006/relationships/hyperlink" Target="http://www.anofm.ro/files/Buletin%20informativ%20nr.%201%20-%20Ianuarie%202016.pdf" TargetMode="External"/><Relationship Id="rId1" Type="http://schemas.openxmlformats.org/officeDocument/2006/relationships/hyperlink" Target="http://www.mmuncii.ro/j33/index.php/ro/comunicare/comunicate-de-presa/4909-cp-facilitati-persoane-dizabilitati-30062017" TargetMode="External"/><Relationship Id="rId6" Type="http://schemas.openxmlformats.org/officeDocument/2006/relationships/hyperlink" Target="http://www.disability-europe.net/theme/statistical-indicators" TargetMode="External"/><Relationship Id="rId11" Type="http://schemas.openxmlformats.org/officeDocument/2006/relationships/hyperlink" Target="http://appsso.eurostat.ec.europa.eu/nui/show.do?dataset=hlth_de020&amp;lang=en" TargetMode="External"/><Relationship Id="rId24" Type="http://schemas.openxmlformats.org/officeDocument/2006/relationships/hyperlink" Target="http://ec.europa.eu/eurostat/web/health/disability/data/database" TargetMode="External"/><Relationship Id="rId32" Type="http://schemas.openxmlformats.org/officeDocument/2006/relationships/hyperlink" Target="http://www.agerpres.ro/economie/2016/05/10/metrorex-statiile-de-metrou-vor-fi-dotate-cu-benzi-speciale-pentru-persoanele-cu-deficiente-de-vedere-16-53-10" TargetMode="External"/><Relationship Id="rId37" Type="http://schemas.openxmlformats.org/officeDocument/2006/relationships/hyperlink" Target="http://www.fonduri-ue.ro/por-2014" TargetMode="External"/><Relationship Id="rId40" Type="http://schemas.openxmlformats.org/officeDocument/2006/relationships/hyperlink" Target="http://www.fonduri-ue.ro/apeluri/details/2/27/apeluri-4-2-dezvoltare-local%C4%83-integrat%C4%83-dli-360-%C3%AEn-comunit%C4%83%C8%9Bile-marginalizate?start=20" TargetMode="External"/><Relationship Id="rId5" Type="http://schemas.openxmlformats.org/officeDocument/2006/relationships/hyperlink" Target="http://epp.eurostat.ec.europa.eu/statistics_explained/index.php/Glossary:Minimum_European_Health_Module_(MEHM)" TargetMode="External"/><Relationship Id="rId15" Type="http://schemas.openxmlformats.org/officeDocument/2006/relationships/hyperlink" Target="http://socasis.ubbcluj.ro/index.php?option=com_content&amp;view=article&amp;id=19&amp;Itemid=21" TargetMode="External"/><Relationship Id="rId23" Type="http://schemas.openxmlformats.org/officeDocument/2006/relationships/hyperlink" Target="http://stiri.tvr.ro/izolatiprintrenoi.html" TargetMode="External"/><Relationship Id="rId28" Type="http://schemas.openxmlformats.org/officeDocument/2006/relationships/hyperlink" Target="http://ec.europa.eu/europe2020/pdf/csr2016/nrp2016_romania_en.pdf" TargetMode="External"/><Relationship Id="rId36" Type="http://schemas.openxmlformats.org/officeDocument/2006/relationships/hyperlink" Target="http://www.fonduri-ue.ro/res/filepicker_users/cd25a597fd-62/2014-2020/acord-parteneriat/Partnership_Agreement_2014RO16M8PA001_1_2_ro.pdf" TargetMode="External"/><Relationship Id="rId10" Type="http://schemas.openxmlformats.org/officeDocument/2006/relationships/hyperlink" Target="http://appsso.eurostat.ec.europa.eu/nui/show.do?dataset=hlth_de010&amp;lang=en" TargetMode="External"/><Relationship Id="rId19" Type="http://schemas.openxmlformats.org/officeDocument/2006/relationships/hyperlink" Target="http://anpd.gov.ro/web/transparenta/statistici/trimestriale/" TargetMode="External"/><Relationship Id="rId31" Type="http://schemas.openxmlformats.org/officeDocument/2006/relationships/hyperlink" Target="http://www.mmuncii.ro/j33/images/buletin_statistic/dizabilitatian_2015.pdf" TargetMode="External"/><Relationship Id="rId4" Type="http://schemas.openxmlformats.org/officeDocument/2006/relationships/hyperlink" Target="http://www.mmuncii.ro/pub/imagemanager/images/file/Legislatie/LEGI/L448-2006_rep.pdf" TargetMode="External"/><Relationship Id="rId9" Type="http://schemas.openxmlformats.org/officeDocument/2006/relationships/hyperlink" Target="http://www.mmuncii.ro/j33/index.php/ro/comunicare/comunicate-de-presa/4956-cp-upa-22082017" TargetMode="External"/><Relationship Id="rId14" Type="http://schemas.openxmlformats.org/officeDocument/2006/relationships/hyperlink" Target="http://www.mediafax.ro/social/foto-inscrierea-facultate-mii-candidati-coada-depune-dosarul-ase-bucuresti-cele-cautate-facultati-universitatile-cluj-aproape-10-000-locuri-bugetate-peste-jumatate-ubb-16585096" TargetMode="External"/><Relationship Id="rId22" Type="http://schemas.openxmlformats.org/officeDocument/2006/relationships/hyperlink" Target="http://www.cedcd.ro/100-milioane-euroan-costul-izolarii-copiilor-cu-dizabilitati/" TargetMode="External"/><Relationship Id="rId27" Type="http://schemas.openxmlformats.org/officeDocument/2006/relationships/hyperlink" Target="http://www.motivation.ro/uploads/studii%20SAR/Diagnostic%20exclus%20de%20pe%20piata%20muncii.pdf" TargetMode="External"/><Relationship Id="rId30" Type="http://schemas.openxmlformats.org/officeDocument/2006/relationships/hyperlink" Target="http://gov.ro/fisiere/stiri_fisiere/Pachet_integrat_pentru_combaterea_saraciei.pdf" TargetMode="External"/><Relationship Id="rId35" Type="http://schemas.openxmlformats.org/officeDocument/2006/relationships/hyperlink" Target="http://ec.europa.eu/regional_policy/sources/docgener/informat/2014/eac_guidance_esif_part2_en.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0.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1.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sz="1600"/>
              <a:t>Prevalence of self-reported 'activity limitation'</a:t>
            </a:r>
          </a:p>
        </c:rich>
      </c:tx>
      <c:overlay val="0"/>
    </c:title>
    <c:autoTitleDeleted val="0"/>
    <c:plotArea>
      <c:layout/>
      <c:barChart>
        <c:barDir val="bar"/>
        <c:grouping val="clustered"/>
        <c:varyColors val="0"/>
        <c:ser>
          <c:idx val="0"/>
          <c:order val="0"/>
          <c:tx>
            <c:strRef>
              <c:f>Sheet1!$B$1</c:f>
              <c:strCache>
                <c:ptCount val="1"/>
                <c:pt idx="0">
                  <c:v>EU average</c:v>
                </c:pt>
              </c:strCache>
            </c:strRef>
          </c:tx>
          <c:invertIfNegative val="0"/>
          <c:cat>
            <c:strRef>
              <c:f>Sheet1!$A$2:$A$9</c:f>
              <c:strCache>
                <c:ptCount val="8"/>
                <c:pt idx="0">
                  <c:v>Not limited</c:v>
                </c:pt>
                <c:pt idx="1">
                  <c:v>All 'limited'</c:v>
                </c:pt>
                <c:pt idx="2">
                  <c:v>Strongly limited</c:v>
                </c:pt>
                <c:pt idx="3">
                  <c:v>Limited to some extent</c:v>
                </c:pt>
                <c:pt idx="4">
                  <c:v>Women</c:v>
                </c:pt>
                <c:pt idx="5">
                  <c:v>Men</c:v>
                </c:pt>
                <c:pt idx="6">
                  <c:v>Age 16-64</c:v>
                </c:pt>
                <c:pt idx="7">
                  <c:v>Age 65+</c:v>
                </c:pt>
              </c:strCache>
            </c:strRef>
          </c:cat>
          <c:val>
            <c:numRef>
              <c:f>Sheet1!$B$2:$B$9</c:f>
              <c:numCache>
                <c:formatCode>0.0</c:formatCode>
                <c:ptCount val="8"/>
                <c:pt idx="0">
                  <c:v>74.709999999999994</c:v>
                </c:pt>
                <c:pt idx="1">
                  <c:v>25.29</c:v>
                </c:pt>
                <c:pt idx="2">
                  <c:v>8.0399999999999991</c:v>
                </c:pt>
                <c:pt idx="3">
                  <c:v>17.25</c:v>
                </c:pt>
                <c:pt idx="4">
                  <c:v>27.46</c:v>
                </c:pt>
                <c:pt idx="5">
                  <c:v>22.95</c:v>
                </c:pt>
                <c:pt idx="6">
                  <c:v>17.809999999999999</c:v>
                </c:pt>
                <c:pt idx="7">
                  <c:v>50.09</c:v>
                </c:pt>
              </c:numCache>
            </c:numRef>
          </c:val>
          <c:extLst>
            <c:ext xmlns:c16="http://schemas.microsoft.com/office/drawing/2014/chart" uri="{C3380CC4-5D6E-409C-BE32-E72D297353CC}">
              <c16:uniqueId val="{00000000-3BBB-43D0-9951-0D1CCEEB88B2}"/>
            </c:ext>
          </c:extLst>
        </c:ser>
        <c:ser>
          <c:idx val="1"/>
          <c:order val="1"/>
          <c:tx>
            <c:strRef>
              <c:f>Sheet1!$C$1</c:f>
              <c:strCache>
                <c:ptCount val="1"/>
                <c:pt idx="0">
                  <c:v>National average</c:v>
                </c:pt>
              </c:strCache>
            </c:strRef>
          </c:tx>
          <c:invertIfNegative val="0"/>
          <c:cat>
            <c:strRef>
              <c:f>Sheet1!$A$2:$A$9</c:f>
              <c:strCache>
                <c:ptCount val="8"/>
                <c:pt idx="0">
                  <c:v>Not limited</c:v>
                </c:pt>
                <c:pt idx="1">
                  <c:v>All 'limited'</c:v>
                </c:pt>
                <c:pt idx="2">
                  <c:v>Strongly limited</c:v>
                </c:pt>
                <c:pt idx="3">
                  <c:v>Limited to some extent</c:v>
                </c:pt>
                <c:pt idx="4">
                  <c:v>Women</c:v>
                </c:pt>
                <c:pt idx="5">
                  <c:v>Men</c:v>
                </c:pt>
                <c:pt idx="6">
                  <c:v>Age 16-64</c:v>
                </c:pt>
                <c:pt idx="7">
                  <c:v>Age 65+</c:v>
                </c:pt>
              </c:strCache>
            </c:strRef>
          </c:cat>
          <c:val>
            <c:numRef>
              <c:f>Sheet1!$C$2:$C$9</c:f>
              <c:numCache>
                <c:formatCode>0.0</c:formatCode>
                <c:ptCount val="8"/>
                <c:pt idx="0">
                  <c:v>73.849999999999994</c:v>
                </c:pt>
                <c:pt idx="1">
                  <c:v>26.15</c:v>
                </c:pt>
                <c:pt idx="2">
                  <c:v>6.76</c:v>
                </c:pt>
                <c:pt idx="3">
                  <c:v>19.39</c:v>
                </c:pt>
                <c:pt idx="4">
                  <c:v>30.38</c:v>
                </c:pt>
                <c:pt idx="5">
                  <c:v>21.63</c:v>
                </c:pt>
                <c:pt idx="6">
                  <c:v>16.28</c:v>
                </c:pt>
                <c:pt idx="7">
                  <c:v>63.08</c:v>
                </c:pt>
              </c:numCache>
            </c:numRef>
          </c:val>
          <c:extLst>
            <c:ext xmlns:c16="http://schemas.microsoft.com/office/drawing/2014/chart" uri="{C3380CC4-5D6E-409C-BE32-E72D297353CC}">
              <c16:uniqueId val="{00000001-3BBB-43D0-9951-0D1CCEEB88B2}"/>
            </c:ext>
          </c:extLst>
        </c:ser>
        <c:dLbls>
          <c:showLegendKey val="0"/>
          <c:showVal val="0"/>
          <c:showCatName val="0"/>
          <c:showSerName val="0"/>
          <c:showPercent val="0"/>
          <c:showBubbleSize val="0"/>
        </c:dLbls>
        <c:gapWidth val="150"/>
        <c:axId val="609217768"/>
        <c:axId val="609217376"/>
      </c:barChart>
      <c:catAx>
        <c:axId val="609217768"/>
        <c:scaling>
          <c:orientation val="maxMin"/>
        </c:scaling>
        <c:delete val="0"/>
        <c:axPos val="l"/>
        <c:numFmt formatCode="General" sourceLinked="1"/>
        <c:majorTickMark val="none"/>
        <c:minorTickMark val="none"/>
        <c:tickLblPos val="nextTo"/>
        <c:crossAx val="609217376"/>
        <c:crosses val="autoZero"/>
        <c:auto val="1"/>
        <c:lblAlgn val="ctr"/>
        <c:lblOffset val="100"/>
        <c:noMultiLvlLbl val="0"/>
      </c:catAx>
      <c:valAx>
        <c:axId val="609217376"/>
        <c:scaling>
          <c:orientation val="minMax"/>
        </c:scaling>
        <c:delete val="0"/>
        <c:axPos val="t"/>
        <c:majorGridlines/>
        <c:title>
          <c:tx>
            <c:rich>
              <a:bodyPr/>
              <a:lstStyle/>
              <a:p>
                <a:pPr>
                  <a:defRPr/>
                </a:pPr>
                <a:r>
                  <a:rPr lang="en-GB"/>
                  <a:t>%</a:t>
                </a:r>
              </a:p>
            </c:rich>
          </c:tx>
          <c:overlay val="0"/>
        </c:title>
        <c:numFmt formatCode="0.0" sourceLinked="1"/>
        <c:majorTickMark val="none"/>
        <c:minorTickMark val="none"/>
        <c:tickLblPos val="nextTo"/>
        <c:crossAx val="6092177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National</a:t>
            </a:r>
            <a:r>
              <a:rPr lang="en-GB" sz="1600" baseline="0"/>
              <a:t> t</a:t>
            </a:r>
            <a:r>
              <a:rPr lang="en-GB" sz="1600"/>
              <a:t>rends in economic activity rates</a:t>
            </a:r>
          </a:p>
        </c:rich>
      </c:tx>
      <c:overlay val="0"/>
    </c:title>
    <c:autoTitleDeleted val="0"/>
    <c:plotArea>
      <c:layout/>
      <c:lineChart>
        <c:grouping val="standard"/>
        <c:varyColors val="0"/>
        <c:ser>
          <c:idx val="0"/>
          <c:order val="0"/>
          <c:tx>
            <c:strRef>
              <c:f>Sheet1!$B$1</c:f>
              <c:strCache>
                <c:ptCount val="1"/>
                <c:pt idx="0">
                  <c:v>Disabled women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Sheet1!$B$2:$B$9</c:f>
              <c:numCache>
                <c:formatCode>General</c:formatCode>
                <c:ptCount val="8"/>
                <c:pt idx="0">
                  <c:v>27.3</c:v>
                </c:pt>
                <c:pt idx="1">
                  <c:v>28</c:v>
                </c:pt>
                <c:pt idx="2">
                  <c:v>34.5</c:v>
                </c:pt>
                <c:pt idx="3">
                  <c:v>33.700000000000003</c:v>
                </c:pt>
                <c:pt idx="4">
                  <c:v>34.5</c:v>
                </c:pt>
                <c:pt idx="5" formatCode="0.0">
                  <c:v>34.26</c:v>
                </c:pt>
                <c:pt idx="6" formatCode="0.0">
                  <c:v>36.43</c:v>
                </c:pt>
                <c:pt idx="7" formatCode="0.0">
                  <c:v>37.47</c:v>
                </c:pt>
              </c:numCache>
            </c:numRef>
          </c:val>
          <c:smooth val="0"/>
          <c:extLst>
            <c:ext xmlns:c16="http://schemas.microsoft.com/office/drawing/2014/chart" uri="{C3380CC4-5D6E-409C-BE32-E72D297353CC}">
              <c16:uniqueId val="{00000000-C2B1-49B1-A746-124014990E80}"/>
            </c:ext>
          </c:extLst>
        </c:ser>
        <c:ser>
          <c:idx val="1"/>
          <c:order val="1"/>
          <c:tx>
            <c:strRef>
              <c:f>Sheet1!$C$1</c:f>
              <c:strCache>
                <c:ptCount val="1"/>
                <c:pt idx="0">
                  <c:v>Disabled 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Sheet1!$C$2:$C$9</c:f>
              <c:numCache>
                <c:formatCode>General</c:formatCode>
                <c:ptCount val="8"/>
                <c:pt idx="0">
                  <c:v>34.799999999999997</c:v>
                </c:pt>
                <c:pt idx="1">
                  <c:v>36.700000000000003</c:v>
                </c:pt>
                <c:pt idx="2">
                  <c:v>47.8</c:v>
                </c:pt>
                <c:pt idx="3">
                  <c:v>49.7</c:v>
                </c:pt>
                <c:pt idx="4">
                  <c:v>51.7</c:v>
                </c:pt>
                <c:pt idx="5" formatCode="0.0">
                  <c:v>51.28</c:v>
                </c:pt>
                <c:pt idx="6" formatCode="0.0">
                  <c:v>55.01</c:v>
                </c:pt>
                <c:pt idx="7" formatCode="0.0">
                  <c:v>55.63</c:v>
                </c:pt>
              </c:numCache>
            </c:numRef>
          </c:val>
          <c:smooth val="0"/>
          <c:extLst>
            <c:ext xmlns:c16="http://schemas.microsoft.com/office/drawing/2014/chart" uri="{C3380CC4-5D6E-409C-BE32-E72D297353CC}">
              <c16:uniqueId val="{00000001-C2B1-49B1-A746-124014990E80}"/>
            </c:ext>
          </c:extLst>
        </c:ser>
        <c:ser>
          <c:idx val="2"/>
          <c:order val="2"/>
          <c:tx>
            <c:strRef>
              <c:f>Sheet1!$D$1</c:f>
              <c:strCache>
                <c:ptCount val="1"/>
                <c:pt idx="0">
                  <c:v>Non-disabled women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Sheet1!$D$2:$D$9</c:f>
              <c:numCache>
                <c:formatCode>General</c:formatCode>
                <c:ptCount val="8"/>
                <c:pt idx="0">
                  <c:v>60.6</c:v>
                </c:pt>
                <c:pt idx="1">
                  <c:v>60.7</c:v>
                </c:pt>
                <c:pt idx="2">
                  <c:v>63.1</c:v>
                </c:pt>
                <c:pt idx="3">
                  <c:v>63.7</c:v>
                </c:pt>
                <c:pt idx="4">
                  <c:v>63</c:v>
                </c:pt>
                <c:pt idx="5" formatCode="0.0">
                  <c:v>64.64</c:v>
                </c:pt>
                <c:pt idx="6" formatCode="0.0">
                  <c:v>64.98</c:v>
                </c:pt>
                <c:pt idx="7" formatCode="0.0">
                  <c:v>64.33</c:v>
                </c:pt>
              </c:numCache>
            </c:numRef>
          </c:val>
          <c:smooth val="0"/>
          <c:extLst>
            <c:ext xmlns:c16="http://schemas.microsoft.com/office/drawing/2014/chart" uri="{C3380CC4-5D6E-409C-BE32-E72D297353CC}">
              <c16:uniqueId val="{00000002-C2B1-49B1-A746-124014990E80}"/>
            </c:ext>
          </c:extLst>
        </c:ser>
        <c:ser>
          <c:idx val="3"/>
          <c:order val="3"/>
          <c:tx>
            <c:strRef>
              <c:f>Sheet1!$E$1</c:f>
              <c:strCache>
                <c:ptCount val="1"/>
                <c:pt idx="0">
                  <c:v>Non-disabled 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Sheet1!$E$2:$E$9</c:f>
              <c:numCache>
                <c:formatCode>General</c:formatCode>
                <c:ptCount val="8"/>
                <c:pt idx="0">
                  <c:v>84.8</c:v>
                </c:pt>
                <c:pt idx="1">
                  <c:v>85.3</c:v>
                </c:pt>
                <c:pt idx="2">
                  <c:v>86.6</c:v>
                </c:pt>
                <c:pt idx="3">
                  <c:v>87</c:v>
                </c:pt>
                <c:pt idx="4">
                  <c:v>87.2</c:v>
                </c:pt>
                <c:pt idx="5" formatCode="0.0">
                  <c:v>87.22</c:v>
                </c:pt>
                <c:pt idx="6" formatCode="0.0">
                  <c:v>87.4</c:v>
                </c:pt>
                <c:pt idx="7" formatCode="0.0">
                  <c:v>87.32</c:v>
                </c:pt>
              </c:numCache>
            </c:numRef>
          </c:val>
          <c:smooth val="0"/>
          <c:extLst>
            <c:ext xmlns:c16="http://schemas.microsoft.com/office/drawing/2014/chart" uri="{C3380CC4-5D6E-409C-BE32-E72D297353CC}">
              <c16:uniqueId val="{00000003-C2B1-49B1-A746-124014990E80}"/>
            </c:ext>
          </c:extLst>
        </c:ser>
        <c:ser>
          <c:idx val="4"/>
          <c:order val="4"/>
          <c:tx>
            <c:strRef>
              <c:f>Sheet1!$F$1</c:f>
              <c:strCache>
                <c:ptCount val="1"/>
                <c:pt idx="0">
                  <c:v>EU average (all)</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Sheet1!$F$2:$F$9</c:f>
              <c:numCache>
                <c:formatCode>General</c:formatCode>
                <c:ptCount val="8"/>
                <c:pt idx="0">
                  <c:v>75</c:v>
                </c:pt>
                <c:pt idx="1">
                  <c:v>75.3</c:v>
                </c:pt>
                <c:pt idx="2">
                  <c:v>75.400000000000006</c:v>
                </c:pt>
                <c:pt idx="3">
                  <c:v>75.8</c:v>
                </c:pt>
                <c:pt idx="4">
                  <c:v>76.3</c:v>
                </c:pt>
                <c:pt idx="5">
                  <c:v>76.8</c:v>
                </c:pt>
                <c:pt idx="6" formatCode="0.0">
                  <c:v>77.5</c:v>
                </c:pt>
                <c:pt idx="7">
                  <c:v>77.7</c:v>
                </c:pt>
              </c:numCache>
            </c:numRef>
          </c:val>
          <c:smooth val="0"/>
          <c:extLst>
            <c:ext xmlns:c16="http://schemas.microsoft.com/office/drawing/2014/chart" uri="{C3380CC4-5D6E-409C-BE32-E72D297353CC}">
              <c16:uniqueId val="{00000004-C2B1-49B1-A746-124014990E80}"/>
            </c:ext>
          </c:extLst>
        </c:ser>
        <c:dLbls>
          <c:showLegendKey val="0"/>
          <c:showVal val="0"/>
          <c:showCatName val="0"/>
          <c:showSerName val="0"/>
          <c:showPercent val="0"/>
          <c:showBubbleSize val="0"/>
        </c:dLbls>
        <c:marker val="1"/>
        <c:smooth val="0"/>
        <c:axId val="436045744"/>
        <c:axId val="436043392"/>
      </c:lineChart>
      <c:catAx>
        <c:axId val="436045744"/>
        <c:scaling>
          <c:orientation val="minMax"/>
        </c:scaling>
        <c:delete val="0"/>
        <c:axPos val="b"/>
        <c:numFmt formatCode="General" sourceLinked="1"/>
        <c:majorTickMark val="none"/>
        <c:minorTickMark val="none"/>
        <c:tickLblPos val="nextTo"/>
        <c:crossAx val="436043392"/>
        <c:crosses val="autoZero"/>
        <c:auto val="1"/>
        <c:lblAlgn val="ctr"/>
        <c:lblOffset val="100"/>
        <c:noMultiLvlLbl val="0"/>
      </c:catAx>
      <c:valAx>
        <c:axId val="436043392"/>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43604574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a:t>Early school leavers</a:t>
            </a:r>
          </a:p>
        </c:rich>
      </c:tx>
      <c:overlay val="0"/>
    </c:title>
    <c:autoTitleDeleted val="0"/>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Sheet1!$B$2:$B$5</c:f>
              <c:numCache>
                <c:formatCode>0.0</c:formatCode>
                <c:ptCount val="4"/>
                <c:pt idx="0">
                  <c:v>21.96</c:v>
                </c:pt>
                <c:pt idx="1">
                  <c:v>11.68</c:v>
                </c:pt>
                <c:pt idx="2">
                  <c:v>24.3</c:v>
                </c:pt>
                <c:pt idx="3">
                  <c:v>12.48</c:v>
                </c:pt>
              </c:numCache>
            </c:numRef>
          </c:val>
          <c:extLst>
            <c:ext xmlns:c16="http://schemas.microsoft.com/office/drawing/2014/chart" uri="{C3380CC4-5D6E-409C-BE32-E72D297353CC}">
              <c16:uniqueId val="{00000000-BCF7-426F-A243-670043168FFC}"/>
            </c:ext>
          </c:extLst>
        </c:ser>
        <c:ser>
          <c:idx val="1"/>
          <c:order val="1"/>
          <c:tx>
            <c:strRef>
              <c:f>Sheet1!$C$1</c:f>
              <c:strCache>
                <c:ptCount val="1"/>
                <c:pt idx="0">
                  <c:v>National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Sheet1!$C$2:$C$5</c:f>
              <c:numCache>
                <c:formatCode>0.0</c:formatCode>
                <c:ptCount val="4"/>
                <c:pt idx="0">
                  <c:v>40.51</c:v>
                </c:pt>
                <c:pt idx="1">
                  <c:v>23.59</c:v>
                </c:pt>
                <c:pt idx="2">
                  <c:v>41.12</c:v>
                </c:pt>
                <c:pt idx="3">
                  <c:v>26.37</c:v>
                </c:pt>
              </c:numCache>
            </c:numRef>
          </c:val>
          <c:extLst>
            <c:ext xmlns:c16="http://schemas.microsoft.com/office/drawing/2014/chart" uri="{C3380CC4-5D6E-409C-BE32-E72D297353CC}">
              <c16:uniqueId val="{00000001-BCF7-426F-A243-670043168FFC}"/>
            </c:ext>
          </c:extLst>
        </c:ser>
        <c:dLbls>
          <c:showLegendKey val="0"/>
          <c:showVal val="0"/>
          <c:showCatName val="0"/>
          <c:showSerName val="0"/>
          <c:showPercent val="0"/>
          <c:showBubbleSize val="0"/>
        </c:dLbls>
        <c:gapWidth val="150"/>
        <c:axId val="436047312"/>
        <c:axId val="436046528"/>
      </c:barChart>
      <c:catAx>
        <c:axId val="436047312"/>
        <c:scaling>
          <c:orientation val="minMax"/>
        </c:scaling>
        <c:delete val="0"/>
        <c:axPos val="b"/>
        <c:numFmt formatCode="General" sourceLinked="1"/>
        <c:majorTickMark val="none"/>
        <c:minorTickMark val="none"/>
        <c:tickLblPos val="nextTo"/>
        <c:crossAx val="436046528"/>
        <c:crosses val="autoZero"/>
        <c:auto val="1"/>
        <c:lblAlgn val="ctr"/>
        <c:lblOffset val="100"/>
        <c:noMultiLvlLbl val="0"/>
      </c:catAx>
      <c:valAx>
        <c:axId val="436046528"/>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43604731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a:t>Completion of tertiary education</a:t>
            </a:r>
          </a:p>
        </c:rich>
      </c:tx>
      <c:overlay val="0"/>
    </c:title>
    <c:autoTitleDeleted val="0"/>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Sheet1!$B$2:$B$5</c:f>
              <c:numCache>
                <c:formatCode>0.0</c:formatCode>
                <c:ptCount val="4"/>
                <c:pt idx="0">
                  <c:v>29.35</c:v>
                </c:pt>
                <c:pt idx="1">
                  <c:v>43</c:v>
                </c:pt>
                <c:pt idx="2">
                  <c:v>27.46</c:v>
                </c:pt>
                <c:pt idx="3">
                  <c:v>41.42</c:v>
                </c:pt>
              </c:numCache>
            </c:numRef>
          </c:val>
          <c:extLst>
            <c:ext xmlns:c16="http://schemas.microsoft.com/office/drawing/2014/chart" uri="{C3380CC4-5D6E-409C-BE32-E72D297353CC}">
              <c16:uniqueId val="{00000000-308F-4AE2-A6F4-431A2C06A955}"/>
            </c:ext>
          </c:extLst>
        </c:ser>
        <c:ser>
          <c:idx val="1"/>
          <c:order val="1"/>
          <c:tx>
            <c:strRef>
              <c:f>Sheet1!$C$1</c:f>
              <c:strCache>
                <c:ptCount val="1"/>
                <c:pt idx="0">
                  <c:v>National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Sheet1!$C$2:$C$5</c:f>
              <c:numCache>
                <c:formatCode>0.0</c:formatCode>
                <c:ptCount val="4"/>
                <c:pt idx="0">
                  <c:v>17.149999999999999</c:v>
                </c:pt>
                <c:pt idx="1">
                  <c:v>31.33</c:v>
                </c:pt>
                <c:pt idx="2">
                  <c:v>15.39</c:v>
                </c:pt>
                <c:pt idx="3">
                  <c:v>25.8</c:v>
                </c:pt>
              </c:numCache>
            </c:numRef>
          </c:val>
          <c:extLst>
            <c:ext xmlns:c16="http://schemas.microsoft.com/office/drawing/2014/chart" uri="{C3380CC4-5D6E-409C-BE32-E72D297353CC}">
              <c16:uniqueId val="{00000001-308F-4AE2-A6F4-431A2C06A955}"/>
            </c:ext>
          </c:extLst>
        </c:ser>
        <c:dLbls>
          <c:showLegendKey val="0"/>
          <c:showVal val="0"/>
          <c:showCatName val="0"/>
          <c:showSerName val="0"/>
          <c:showPercent val="0"/>
          <c:showBubbleSize val="0"/>
        </c:dLbls>
        <c:gapWidth val="150"/>
        <c:axId val="436048880"/>
        <c:axId val="436049664"/>
      </c:barChart>
      <c:catAx>
        <c:axId val="436048880"/>
        <c:scaling>
          <c:orientation val="minMax"/>
        </c:scaling>
        <c:delete val="0"/>
        <c:axPos val="b"/>
        <c:numFmt formatCode="General" sourceLinked="1"/>
        <c:majorTickMark val="none"/>
        <c:minorTickMark val="none"/>
        <c:tickLblPos val="nextTo"/>
        <c:crossAx val="436049664"/>
        <c:crosses val="autoZero"/>
        <c:auto val="1"/>
        <c:lblAlgn val="ctr"/>
        <c:lblOffset val="100"/>
        <c:noMultiLvlLbl val="0"/>
      </c:catAx>
      <c:valAx>
        <c:axId val="43604966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43604888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Indicative trends in tertiary education rates</a:t>
            </a:r>
          </a:p>
        </c:rich>
      </c:tx>
      <c:layout>
        <c:manualLayout>
          <c:xMode val="edge"/>
          <c:yMode val="edge"/>
          <c:x val="0.17858213035870515"/>
          <c:y val="1.6427104722792608E-2"/>
        </c:manualLayout>
      </c:layout>
      <c:overlay val="0"/>
    </c:title>
    <c:autoTitleDeleted val="0"/>
    <c:plotArea>
      <c:layout/>
      <c:lineChart>
        <c:grouping val="standard"/>
        <c:varyColors val="0"/>
        <c:ser>
          <c:idx val="0"/>
          <c:order val="0"/>
          <c:tx>
            <c:strRef>
              <c:f>Sheet1!$B$1</c:f>
              <c:strCache>
                <c:ptCount val="1"/>
                <c:pt idx="0">
                  <c:v>Disabled (national)</c:v>
                </c:pt>
              </c:strCache>
            </c:strRef>
          </c:tx>
          <c:trendline>
            <c:trendlineType val="linear"/>
            <c:dispRSqr val="0"/>
            <c:dispEq val="0"/>
          </c:trendline>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Sheet1!$B$2:$B$9</c:f>
              <c:numCache>
                <c:formatCode>General</c:formatCode>
                <c:ptCount val="8"/>
                <c:pt idx="0">
                  <c:v>5.5</c:v>
                </c:pt>
                <c:pt idx="1">
                  <c:v>10.7</c:v>
                </c:pt>
                <c:pt idx="2">
                  <c:v>10.9</c:v>
                </c:pt>
                <c:pt idx="3">
                  <c:v>7.5</c:v>
                </c:pt>
                <c:pt idx="4">
                  <c:v>15.6</c:v>
                </c:pt>
                <c:pt idx="5" formatCode="0.0">
                  <c:v>24.52</c:v>
                </c:pt>
                <c:pt idx="6" formatCode="0.0">
                  <c:v>13.82</c:v>
                </c:pt>
                <c:pt idx="7" formatCode="0.0">
                  <c:v>17.149999999999999</c:v>
                </c:pt>
              </c:numCache>
            </c:numRef>
          </c:val>
          <c:smooth val="0"/>
          <c:extLst>
            <c:ext xmlns:c16="http://schemas.microsoft.com/office/drawing/2014/chart" uri="{C3380CC4-5D6E-409C-BE32-E72D297353CC}">
              <c16:uniqueId val="{00000001-6C1D-4D4E-A5D4-B22D54B9D975}"/>
            </c:ext>
          </c:extLst>
        </c:ser>
        <c:ser>
          <c:idx val="1"/>
          <c:order val="1"/>
          <c:tx>
            <c:strRef>
              <c:f>Sheet1!$C$1</c:f>
              <c:strCache>
                <c:ptCount val="1"/>
                <c:pt idx="0">
                  <c:v>Non-disabled (national)</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Sheet1!$C$2:$C$9</c:f>
              <c:numCache>
                <c:formatCode>General</c:formatCode>
                <c:ptCount val="8"/>
                <c:pt idx="0">
                  <c:v>16.600000000000001</c:v>
                </c:pt>
                <c:pt idx="1">
                  <c:v>20</c:v>
                </c:pt>
                <c:pt idx="2">
                  <c:v>21.1</c:v>
                </c:pt>
                <c:pt idx="3">
                  <c:v>24.3</c:v>
                </c:pt>
                <c:pt idx="4">
                  <c:v>24.9</c:v>
                </c:pt>
                <c:pt idx="5" formatCode="0.0">
                  <c:v>26.24</c:v>
                </c:pt>
                <c:pt idx="6" formatCode="0.0">
                  <c:v>29.63</c:v>
                </c:pt>
                <c:pt idx="7" formatCode="0.0">
                  <c:v>31.33</c:v>
                </c:pt>
              </c:numCache>
            </c:numRef>
          </c:val>
          <c:smooth val="0"/>
          <c:extLst>
            <c:ext xmlns:c16="http://schemas.microsoft.com/office/drawing/2014/chart" uri="{C3380CC4-5D6E-409C-BE32-E72D297353CC}">
              <c16:uniqueId val="{00000002-6C1D-4D4E-A5D4-B22D54B9D975}"/>
            </c:ext>
          </c:extLst>
        </c:ser>
        <c:ser>
          <c:idx val="2"/>
          <c:order val="2"/>
          <c:tx>
            <c:strRef>
              <c:f>Sheet1!$D$1</c:f>
              <c:strCache>
                <c:ptCount val="1"/>
                <c:pt idx="0">
                  <c:v>Disabled (EU)</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Sheet1!$D$2:$D$9</c:f>
              <c:numCache>
                <c:formatCode>General</c:formatCode>
                <c:ptCount val="8"/>
                <c:pt idx="0">
                  <c:v>20.399999999999999</c:v>
                </c:pt>
                <c:pt idx="1">
                  <c:v>21.6</c:v>
                </c:pt>
                <c:pt idx="2">
                  <c:v>22.8</c:v>
                </c:pt>
                <c:pt idx="3">
                  <c:v>27.1</c:v>
                </c:pt>
                <c:pt idx="4">
                  <c:v>27.8</c:v>
                </c:pt>
                <c:pt idx="5">
                  <c:v>28</c:v>
                </c:pt>
                <c:pt idx="6">
                  <c:v>29.7</c:v>
                </c:pt>
                <c:pt idx="7" formatCode="0.0">
                  <c:v>29.35</c:v>
                </c:pt>
              </c:numCache>
            </c:numRef>
          </c:val>
          <c:smooth val="0"/>
          <c:extLst>
            <c:ext xmlns:c16="http://schemas.microsoft.com/office/drawing/2014/chart" uri="{C3380CC4-5D6E-409C-BE32-E72D297353CC}">
              <c16:uniqueId val="{00000003-6C1D-4D4E-A5D4-B22D54B9D975}"/>
            </c:ext>
          </c:extLst>
        </c:ser>
        <c:ser>
          <c:idx val="3"/>
          <c:order val="3"/>
          <c:tx>
            <c:strRef>
              <c:f>Sheet1!$E$1</c:f>
              <c:strCache>
                <c:ptCount val="1"/>
                <c:pt idx="0">
                  <c:v>Non-disabled (EU)</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Sheet1!$E$2:$E$9</c:f>
              <c:numCache>
                <c:formatCode>General</c:formatCode>
                <c:ptCount val="8"/>
                <c:pt idx="0">
                  <c:v>33.1</c:v>
                </c:pt>
                <c:pt idx="1">
                  <c:v>35.4</c:v>
                </c:pt>
                <c:pt idx="2">
                  <c:v>37</c:v>
                </c:pt>
                <c:pt idx="3">
                  <c:v>36.9</c:v>
                </c:pt>
                <c:pt idx="4">
                  <c:v>39.299999999999997</c:v>
                </c:pt>
                <c:pt idx="5">
                  <c:v>40.700000000000003</c:v>
                </c:pt>
                <c:pt idx="6">
                  <c:v>42.6</c:v>
                </c:pt>
                <c:pt idx="7" formatCode="0.0">
                  <c:v>43</c:v>
                </c:pt>
              </c:numCache>
            </c:numRef>
          </c:val>
          <c:smooth val="0"/>
          <c:extLst>
            <c:ext xmlns:c16="http://schemas.microsoft.com/office/drawing/2014/chart" uri="{C3380CC4-5D6E-409C-BE32-E72D297353CC}">
              <c16:uniqueId val="{00000004-6C1D-4D4E-A5D4-B22D54B9D975}"/>
            </c:ext>
          </c:extLst>
        </c:ser>
        <c:dLbls>
          <c:showLegendKey val="0"/>
          <c:showVal val="0"/>
          <c:showCatName val="0"/>
          <c:showSerName val="0"/>
          <c:showPercent val="0"/>
          <c:showBubbleSize val="0"/>
        </c:dLbls>
        <c:marker val="1"/>
        <c:smooth val="0"/>
        <c:axId val="436050840"/>
        <c:axId val="436047704"/>
      </c:lineChart>
      <c:catAx>
        <c:axId val="436050840"/>
        <c:scaling>
          <c:orientation val="minMax"/>
        </c:scaling>
        <c:delete val="0"/>
        <c:axPos val="b"/>
        <c:numFmt formatCode="General" sourceLinked="1"/>
        <c:majorTickMark val="none"/>
        <c:minorTickMark val="none"/>
        <c:tickLblPos val="nextTo"/>
        <c:crossAx val="436047704"/>
        <c:crosses val="autoZero"/>
        <c:auto val="1"/>
        <c:lblAlgn val="ctr"/>
        <c:lblOffset val="100"/>
        <c:noMultiLvlLbl val="0"/>
      </c:catAx>
      <c:valAx>
        <c:axId val="436047704"/>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43605084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a:t>Main types of </a:t>
            </a:r>
            <a:r>
              <a:rPr lang="en-GB" baseline="0"/>
              <a:t>h</a:t>
            </a:r>
            <a:r>
              <a:rPr lang="en-GB"/>
              <a:t>ousehold poverty risk</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Sheet1!$B$2:$B$7</c:f>
              <c:numCache>
                <c:formatCode>0.0</c:formatCode>
                <c:ptCount val="6"/>
                <c:pt idx="0">
                  <c:v>25.58</c:v>
                </c:pt>
                <c:pt idx="1">
                  <c:v>8.3000000000000007</c:v>
                </c:pt>
                <c:pt idx="2">
                  <c:v>23.73</c:v>
                </c:pt>
                <c:pt idx="3">
                  <c:v>15.96</c:v>
                </c:pt>
                <c:pt idx="4">
                  <c:v>14.54</c:v>
                </c:pt>
                <c:pt idx="5">
                  <c:v>6.98</c:v>
                </c:pt>
              </c:numCache>
            </c:numRef>
          </c:val>
          <c:extLst>
            <c:ext xmlns:c16="http://schemas.microsoft.com/office/drawing/2014/chart" uri="{C3380CC4-5D6E-409C-BE32-E72D297353CC}">
              <c16:uniqueId val="{00000000-EA39-4CA0-B54C-EE434743FCCA}"/>
            </c:ext>
          </c:extLst>
        </c:ser>
        <c:ser>
          <c:idx val="1"/>
          <c:order val="1"/>
          <c:tx>
            <c:strRef>
              <c:f>Sheet1!$C$1</c:f>
              <c:strCache>
                <c:ptCount val="1"/>
                <c:pt idx="0">
                  <c:v>National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Sheet1!$C$2:$C$7</c:f>
              <c:numCache>
                <c:formatCode>0.0</c:formatCode>
                <c:ptCount val="6"/>
                <c:pt idx="0">
                  <c:v>20.12</c:v>
                </c:pt>
                <c:pt idx="1">
                  <c:v>5.91</c:v>
                </c:pt>
                <c:pt idx="2">
                  <c:v>22.98</c:v>
                </c:pt>
                <c:pt idx="3">
                  <c:v>24.18</c:v>
                </c:pt>
                <c:pt idx="4">
                  <c:v>27.86</c:v>
                </c:pt>
                <c:pt idx="5">
                  <c:v>20.07</c:v>
                </c:pt>
              </c:numCache>
            </c:numRef>
          </c:val>
          <c:extLst>
            <c:ext xmlns:c16="http://schemas.microsoft.com/office/drawing/2014/chart" uri="{C3380CC4-5D6E-409C-BE32-E72D297353CC}">
              <c16:uniqueId val="{00000001-EA39-4CA0-B54C-EE434743FCCA}"/>
            </c:ext>
          </c:extLst>
        </c:ser>
        <c:dLbls>
          <c:showLegendKey val="0"/>
          <c:showVal val="0"/>
          <c:showCatName val="0"/>
          <c:showSerName val="0"/>
          <c:showPercent val="0"/>
          <c:showBubbleSize val="0"/>
        </c:dLbls>
        <c:gapWidth val="150"/>
        <c:axId val="579170840"/>
        <c:axId val="579169272"/>
      </c:barChart>
      <c:catAx>
        <c:axId val="579170840"/>
        <c:scaling>
          <c:orientation val="minMax"/>
        </c:scaling>
        <c:delete val="0"/>
        <c:axPos val="b"/>
        <c:numFmt formatCode="General" sourceLinked="1"/>
        <c:majorTickMark val="none"/>
        <c:minorTickMark val="none"/>
        <c:tickLblPos val="nextTo"/>
        <c:crossAx val="579169272"/>
        <c:crosses val="autoZero"/>
        <c:auto val="1"/>
        <c:lblAlgn val="ctr"/>
        <c:lblOffset val="100"/>
        <c:noMultiLvlLbl val="0"/>
      </c:catAx>
      <c:valAx>
        <c:axId val="57916927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579170840"/>
        <c:crosses val="autoZero"/>
        <c:crossBetween val="between"/>
      </c:valAx>
      <c:dTable>
        <c:showHorzBorder val="1"/>
        <c:showVertBorder val="1"/>
        <c:showOutline val="1"/>
        <c:showKeys val="1"/>
        <c:txPr>
          <a:bodyPr/>
          <a:lstStyle/>
          <a:p>
            <a:pPr rtl="0">
              <a:defRPr spc="-100" baseline="0"/>
            </a:pPr>
            <a:endParaRPr lang="nl-NL"/>
          </a:p>
        </c:txPr>
      </c:dTable>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Overall poverty risk factors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Sheet1!$B$2:$B$8</c:f>
              <c:numCache>
                <c:formatCode>0.0</c:formatCode>
                <c:ptCount val="7"/>
                <c:pt idx="0">
                  <c:v>20.8</c:v>
                </c:pt>
                <c:pt idx="1">
                  <c:v>27.44</c:v>
                </c:pt>
                <c:pt idx="2">
                  <c:v>36.08</c:v>
                </c:pt>
                <c:pt idx="3">
                  <c:v>30.16</c:v>
                </c:pt>
                <c:pt idx="4">
                  <c:v>30.22</c:v>
                </c:pt>
                <c:pt idx="5">
                  <c:v>21.68</c:v>
                </c:pt>
                <c:pt idx="6">
                  <c:v>19.899999999999999</c:v>
                </c:pt>
              </c:numCache>
            </c:numRef>
          </c:val>
          <c:extLst>
            <c:ext xmlns:c16="http://schemas.microsoft.com/office/drawing/2014/chart" uri="{C3380CC4-5D6E-409C-BE32-E72D297353CC}">
              <c16:uniqueId val="{00000000-E252-4306-8D84-638C8624005E}"/>
            </c:ext>
          </c:extLst>
        </c:ser>
        <c:ser>
          <c:idx val="1"/>
          <c:order val="1"/>
          <c:tx>
            <c:strRef>
              <c:f>Sheet1!$C$1</c:f>
              <c:strCache>
                <c:ptCount val="1"/>
                <c:pt idx="0">
                  <c:v>National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Sheet1!$C$2:$C$8</c:f>
              <c:numCache>
                <c:formatCode>0.0</c:formatCode>
                <c:ptCount val="7"/>
                <c:pt idx="0">
                  <c:v>34.24</c:v>
                </c:pt>
                <c:pt idx="1">
                  <c:v>36.29</c:v>
                </c:pt>
                <c:pt idx="2">
                  <c:v>48.43</c:v>
                </c:pt>
                <c:pt idx="3">
                  <c:v>40.99</c:v>
                </c:pt>
                <c:pt idx="4">
                  <c:v>37.1</c:v>
                </c:pt>
                <c:pt idx="5">
                  <c:v>34.78</c:v>
                </c:pt>
                <c:pt idx="6">
                  <c:v>33.72</c:v>
                </c:pt>
              </c:numCache>
            </c:numRef>
          </c:val>
          <c:extLst>
            <c:ext xmlns:c16="http://schemas.microsoft.com/office/drawing/2014/chart" uri="{C3380CC4-5D6E-409C-BE32-E72D297353CC}">
              <c16:uniqueId val="{00000001-E252-4306-8D84-638C8624005E}"/>
            </c:ext>
          </c:extLst>
        </c:ser>
        <c:dLbls>
          <c:showLegendKey val="0"/>
          <c:showVal val="0"/>
          <c:showCatName val="0"/>
          <c:showSerName val="0"/>
          <c:showPercent val="0"/>
          <c:showBubbleSize val="0"/>
        </c:dLbls>
        <c:gapWidth val="150"/>
        <c:axId val="261771840"/>
        <c:axId val="261772624"/>
      </c:barChart>
      <c:catAx>
        <c:axId val="261771840"/>
        <c:scaling>
          <c:orientation val="minMax"/>
        </c:scaling>
        <c:delete val="0"/>
        <c:axPos val="b"/>
        <c:numFmt formatCode="General" sourceLinked="1"/>
        <c:majorTickMark val="none"/>
        <c:minorTickMark val="none"/>
        <c:tickLblPos val="nextTo"/>
        <c:crossAx val="261772624"/>
        <c:crosses val="autoZero"/>
        <c:auto val="1"/>
        <c:lblAlgn val="ctr"/>
        <c:lblOffset val="100"/>
        <c:noMultiLvlLbl val="0"/>
      </c:catAx>
      <c:valAx>
        <c:axId val="26177262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61771840"/>
        <c:crosses val="autoZero"/>
        <c:crossBetween val="between"/>
      </c:valAx>
      <c:dTable>
        <c:showHorzBorder val="1"/>
        <c:showVertBorder val="1"/>
        <c:showOutline val="1"/>
        <c:showKeys val="1"/>
        <c:txPr>
          <a:bodyPr/>
          <a:lstStyle/>
          <a:p>
            <a:pPr rtl="0">
              <a:defRPr spc="-100" baseline="0"/>
            </a:pPr>
            <a:endParaRPr lang="nl-NL"/>
          </a:p>
        </c:txPr>
      </c:dTable>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a:t>Overall</a:t>
            </a:r>
            <a:r>
              <a:rPr lang="en-GB" baseline="0"/>
              <a:t> h</a:t>
            </a:r>
            <a:r>
              <a:rPr lang="en-GB"/>
              <a:t>ousehold poverty risk</a:t>
            </a:r>
            <a:r>
              <a:rPr lang="en-GB" baseline="0"/>
              <a:t> by age</a:t>
            </a:r>
            <a:endParaRPr lang="en-GB"/>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Sheet1!$B$2:$B$5</c:f>
              <c:numCache>
                <c:formatCode>0.0</c:formatCode>
                <c:ptCount val="4"/>
                <c:pt idx="0">
                  <c:v>38.43</c:v>
                </c:pt>
                <c:pt idx="1">
                  <c:v>21.93</c:v>
                </c:pt>
                <c:pt idx="2">
                  <c:v>20.09</c:v>
                </c:pt>
                <c:pt idx="3">
                  <c:v>14.39</c:v>
                </c:pt>
              </c:numCache>
            </c:numRef>
          </c:val>
          <c:extLst>
            <c:ext xmlns:c16="http://schemas.microsoft.com/office/drawing/2014/chart" uri="{C3380CC4-5D6E-409C-BE32-E72D297353CC}">
              <c16:uniqueId val="{00000000-D6A4-4562-8626-A8C77B270495}"/>
            </c:ext>
          </c:extLst>
        </c:ser>
        <c:ser>
          <c:idx val="1"/>
          <c:order val="1"/>
          <c:tx>
            <c:strRef>
              <c:f>Sheet1!$C$1</c:f>
              <c:strCache>
                <c:ptCount val="1"/>
                <c:pt idx="0">
                  <c:v>National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Sheet1!$C$2:$C$5</c:f>
              <c:numCache>
                <c:formatCode>0.0</c:formatCode>
                <c:ptCount val="4"/>
                <c:pt idx="0">
                  <c:v>43.84</c:v>
                </c:pt>
                <c:pt idx="1">
                  <c:v>34.67</c:v>
                </c:pt>
                <c:pt idx="2">
                  <c:v>35</c:v>
                </c:pt>
                <c:pt idx="3">
                  <c:v>30.35</c:v>
                </c:pt>
              </c:numCache>
            </c:numRef>
          </c:val>
          <c:extLst>
            <c:ext xmlns:c16="http://schemas.microsoft.com/office/drawing/2014/chart" uri="{C3380CC4-5D6E-409C-BE32-E72D297353CC}">
              <c16:uniqueId val="{00000001-D6A4-4562-8626-A8C77B270495}"/>
            </c:ext>
          </c:extLst>
        </c:ser>
        <c:dLbls>
          <c:showLegendKey val="0"/>
          <c:showVal val="0"/>
          <c:showCatName val="0"/>
          <c:showSerName val="0"/>
          <c:showPercent val="0"/>
          <c:showBubbleSize val="0"/>
        </c:dLbls>
        <c:gapWidth val="150"/>
        <c:axId val="435835408"/>
        <c:axId val="435835800"/>
      </c:barChart>
      <c:catAx>
        <c:axId val="435835408"/>
        <c:scaling>
          <c:orientation val="minMax"/>
        </c:scaling>
        <c:delete val="0"/>
        <c:axPos val="b"/>
        <c:numFmt formatCode="General" sourceLinked="1"/>
        <c:majorTickMark val="none"/>
        <c:minorTickMark val="none"/>
        <c:tickLblPos val="nextTo"/>
        <c:crossAx val="435835800"/>
        <c:crosses val="autoZero"/>
        <c:auto val="1"/>
        <c:lblAlgn val="ctr"/>
        <c:lblOffset val="100"/>
        <c:noMultiLvlLbl val="0"/>
      </c:catAx>
      <c:valAx>
        <c:axId val="43583580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43583540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Trends in national risk of household poverty or social exclusion</a:t>
            </a:r>
          </a:p>
        </c:rich>
      </c:tx>
      <c:overlay val="0"/>
    </c:title>
    <c:autoTitleDeleted val="0"/>
    <c:plotArea>
      <c:layout/>
      <c:lineChart>
        <c:grouping val="standard"/>
        <c:varyColors val="0"/>
        <c:ser>
          <c:idx val="0"/>
          <c:order val="0"/>
          <c:tx>
            <c:strRef>
              <c:f>Sheet1!$B$1</c:f>
              <c:strCache>
                <c:ptCount val="1"/>
                <c:pt idx="0">
                  <c:v>Disabled (16-64)</c:v>
                </c:pt>
              </c:strCache>
            </c:strRef>
          </c:tx>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General</c:formatCode>
                <c:ptCount val="6"/>
                <c:pt idx="0">
                  <c:v>49.9</c:v>
                </c:pt>
                <c:pt idx="1">
                  <c:v>48.9</c:v>
                </c:pt>
                <c:pt idx="2">
                  <c:v>49.9</c:v>
                </c:pt>
                <c:pt idx="3" formatCode="0.0">
                  <c:v>48.4</c:v>
                </c:pt>
                <c:pt idx="4" formatCode="0.0">
                  <c:v>47.09</c:v>
                </c:pt>
                <c:pt idx="5" formatCode="0.0">
                  <c:v>43.84</c:v>
                </c:pt>
              </c:numCache>
            </c:numRef>
          </c:val>
          <c:smooth val="0"/>
          <c:extLst>
            <c:ext xmlns:c16="http://schemas.microsoft.com/office/drawing/2014/chart" uri="{C3380CC4-5D6E-409C-BE32-E72D297353CC}">
              <c16:uniqueId val="{00000000-0712-4880-A476-FC298D23D777}"/>
            </c:ext>
          </c:extLst>
        </c:ser>
        <c:ser>
          <c:idx val="1"/>
          <c:order val="1"/>
          <c:tx>
            <c:strRef>
              <c:f>Sheet1!$C$1</c:f>
              <c:strCache>
                <c:ptCount val="1"/>
                <c:pt idx="0">
                  <c:v>Non-disabled (16-64)</c:v>
                </c:pt>
              </c:strCache>
            </c:strRef>
          </c:tx>
          <c:cat>
            <c:numRef>
              <c:f>Sheet1!$A$2:$A$7</c:f>
              <c:numCache>
                <c:formatCode>General</c:formatCode>
                <c:ptCount val="6"/>
                <c:pt idx="0">
                  <c:v>2010</c:v>
                </c:pt>
                <c:pt idx="1">
                  <c:v>2011</c:v>
                </c:pt>
                <c:pt idx="2">
                  <c:v>2012</c:v>
                </c:pt>
                <c:pt idx="3">
                  <c:v>2013</c:v>
                </c:pt>
                <c:pt idx="4">
                  <c:v>2014</c:v>
                </c:pt>
                <c:pt idx="5">
                  <c:v>2015</c:v>
                </c:pt>
              </c:numCache>
            </c:numRef>
          </c:cat>
          <c:val>
            <c:numRef>
              <c:f>Sheet1!$C$2:$C$7</c:f>
              <c:numCache>
                <c:formatCode>General</c:formatCode>
                <c:ptCount val="6"/>
                <c:pt idx="0">
                  <c:v>37.9</c:v>
                </c:pt>
                <c:pt idx="1">
                  <c:v>37.4</c:v>
                </c:pt>
                <c:pt idx="2">
                  <c:v>39.299999999999997</c:v>
                </c:pt>
                <c:pt idx="3" formatCode="0.0">
                  <c:v>37.85</c:v>
                </c:pt>
                <c:pt idx="4" formatCode="0.0">
                  <c:v>36.86</c:v>
                </c:pt>
                <c:pt idx="5" formatCode="0.0">
                  <c:v>34.67</c:v>
                </c:pt>
              </c:numCache>
            </c:numRef>
          </c:val>
          <c:smooth val="0"/>
          <c:extLst>
            <c:ext xmlns:c16="http://schemas.microsoft.com/office/drawing/2014/chart" uri="{C3380CC4-5D6E-409C-BE32-E72D297353CC}">
              <c16:uniqueId val="{00000001-0712-4880-A476-FC298D23D777}"/>
            </c:ext>
          </c:extLst>
        </c:ser>
        <c:ser>
          <c:idx val="2"/>
          <c:order val="2"/>
          <c:tx>
            <c:strRef>
              <c:f>Sheet1!$D$1</c:f>
              <c:strCache>
                <c:ptCount val="1"/>
                <c:pt idx="0">
                  <c:v>Disabled (65+)</c:v>
                </c:pt>
              </c:strCache>
            </c:strRef>
          </c:tx>
          <c:cat>
            <c:numRef>
              <c:f>Sheet1!$A$2:$A$7</c:f>
              <c:numCache>
                <c:formatCode>General</c:formatCode>
                <c:ptCount val="6"/>
                <c:pt idx="0">
                  <c:v>2010</c:v>
                </c:pt>
                <c:pt idx="1">
                  <c:v>2011</c:v>
                </c:pt>
                <c:pt idx="2">
                  <c:v>2012</c:v>
                </c:pt>
                <c:pt idx="3">
                  <c:v>2013</c:v>
                </c:pt>
                <c:pt idx="4">
                  <c:v>2014</c:v>
                </c:pt>
                <c:pt idx="5">
                  <c:v>2015</c:v>
                </c:pt>
              </c:numCache>
            </c:numRef>
          </c:cat>
          <c:val>
            <c:numRef>
              <c:f>Sheet1!$D$2:$D$7</c:f>
              <c:numCache>
                <c:formatCode>General</c:formatCode>
                <c:ptCount val="6"/>
                <c:pt idx="0">
                  <c:v>43.9</c:v>
                </c:pt>
                <c:pt idx="1">
                  <c:v>39.200000000000003</c:v>
                </c:pt>
                <c:pt idx="2">
                  <c:v>38.9</c:v>
                </c:pt>
                <c:pt idx="3" formatCode="0.0">
                  <c:v>38.4</c:v>
                </c:pt>
                <c:pt idx="4" formatCode="0.0">
                  <c:v>35.049999999999997</c:v>
                </c:pt>
                <c:pt idx="5" formatCode="0.0">
                  <c:v>35</c:v>
                </c:pt>
              </c:numCache>
            </c:numRef>
          </c:val>
          <c:smooth val="0"/>
          <c:extLst>
            <c:ext xmlns:c16="http://schemas.microsoft.com/office/drawing/2014/chart" uri="{C3380CC4-5D6E-409C-BE32-E72D297353CC}">
              <c16:uniqueId val="{00000002-0712-4880-A476-FC298D23D777}"/>
            </c:ext>
          </c:extLst>
        </c:ser>
        <c:ser>
          <c:idx val="3"/>
          <c:order val="3"/>
          <c:tx>
            <c:strRef>
              <c:f>Sheet1!$E$1</c:f>
              <c:strCache>
                <c:ptCount val="1"/>
                <c:pt idx="0">
                  <c:v>Non-disabled (65+)</c:v>
                </c:pt>
              </c:strCache>
            </c:strRef>
          </c:tx>
          <c:cat>
            <c:numRef>
              <c:f>Sheet1!$A$2:$A$7</c:f>
              <c:numCache>
                <c:formatCode>General</c:formatCode>
                <c:ptCount val="6"/>
                <c:pt idx="0">
                  <c:v>2010</c:v>
                </c:pt>
                <c:pt idx="1">
                  <c:v>2011</c:v>
                </c:pt>
                <c:pt idx="2">
                  <c:v>2012</c:v>
                </c:pt>
                <c:pt idx="3">
                  <c:v>2013</c:v>
                </c:pt>
                <c:pt idx="4">
                  <c:v>2014</c:v>
                </c:pt>
                <c:pt idx="5">
                  <c:v>2015</c:v>
                </c:pt>
              </c:numCache>
            </c:numRef>
          </c:cat>
          <c:val>
            <c:numRef>
              <c:f>Sheet1!$E$2:$E$7</c:f>
              <c:numCache>
                <c:formatCode>General</c:formatCode>
                <c:ptCount val="6"/>
                <c:pt idx="0">
                  <c:v>32.200000000000003</c:v>
                </c:pt>
                <c:pt idx="1">
                  <c:v>26.3</c:v>
                </c:pt>
                <c:pt idx="2">
                  <c:v>26.5</c:v>
                </c:pt>
                <c:pt idx="3" formatCode="0.0">
                  <c:v>27.86</c:v>
                </c:pt>
                <c:pt idx="4" formatCode="0.0">
                  <c:v>29.46</c:v>
                </c:pt>
                <c:pt idx="5" formatCode="0.0">
                  <c:v>30.35</c:v>
                </c:pt>
              </c:numCache>
            </c:numRef>
          </c:val>
          <c:smooth val="0"/>
          <c:extLst>
            <c:ext xmlns:c16="http://schemas.microsoft.com/office/drawing/2014/chart" uri="{C3380CC4-5D6E-409C-BE32-E72D297353CC}">
              <c16:uniqueId val="{00000003-0712-4880-A476-FC298D23D777}"/>
            </c:ext>
          </c:extLst>
        </c:ser>
        <c:ser>
          <c:idx val="4"/>
          <c:order val="4"/>
          <c:tx>
            <c:strRef>
              <c:f>Sheet1!$F$1</c:f>
              <c:strCache>
                <c:ptCount val="1"/>
                <c:pt idx="0">
                  <c:v>EU average (all 16+)</c:v>
                </c:pt>
              </c:strCache>
            </c:strRef>
          </c:tx>
          <c:cat>
            <c:numRef>
              <c:f>Sheet1!$A$2:$A$7</c:f>
              <c:numCache>
                <c:formatCode>General</c:formatCode>
                <c:ptCount val="6"/>
                <c:pt idx="0">
                  <c:v>2010</c:v>
                </c:pt>
                <c:pt idx="1">
                  <c:v>2011</c:v>
                </c:pt>
                <c:pt idx="2">
                  <c:v>2012</c:v>
                </c:pt>
                <c:pt idx="3">
                  <c:v>2013</c:v>
                </c:pt>
                <c:pt idx="4">
                  <c:v>2014</c:v>
                </c:pt>
                <c:pt idx="5">
                  <c:v>2015</c:v>
                </c:pt>
              </c:numCache>
            </c:numRef>
          </c:cat>
          <c:val>
            <c:numRef>
              <c:f>Sheet1!$F$2:$F$7</c:f>
              <c:numCache>
                <c:formatCode>General</c:formatCode>
                <c:ptCount val="6"/>
                <c:pt idx="0">
                  <c:v>22.7</c:v>
                </c:pt>
                <c:pt idx="1">
                  <c:v>23.6</c:v>
                </c:pt>
                <c:pt idx="2">
                  <c:v>24.1</c:v>
                </c:pt>
                <c:pt idx="3">
                  <c:v>23.8</c:v>
                </c:pt>
                <c:pt idx="4" formatCode="0.0">
                  <c:v>23.8</c:v>
                </c:pt>
                <c:pt idx="5" formatCode="0.0">
                  <c:v>23.17</c:v>
                </c:pt>
              </c:numCache>
            </c:numRef>
          </c:val>
          <c:smooth val="0"/>
          <c:extLst>
            <c:ext xmlns:c16="http://schemas.microsoft.com/office/drawing/2014/chart" uri="{C3380CC4-5D6E-409C-BE32-E72D297353CC}">
              <c16:uniqueId val="{00000004-0712-4880-A476-FC298D23D777}"/>
            </c:ext>
          </c:extLst>
        </c:ser>
        <c:dLbls>
          <c:showLegendKey val="0"/>
          <c:showVal val="0"/>
          <c:showCatName val="0"/>
          <c:showSerName val="0"/>
          <c:showPercent val="0"/>
          <c:showBubbleSize val="0"/>
        </c:dLbls>
        <c:marker val="1"/>
        <c:smooth val="0"/>
        <c:axId val="267395392"/>
        <c:axId val="267394608"/>
      </c:lineChart>
      <c:catAx>
        <c:axId val="267395392"/>
        <c:scaling>
          <c:orientation val="minMax"/>
        </c:scaling>
        <c:delete val="0"/>
        <c:axPos val="b"/>
        <c:numFmt formatCode="General" sourceLinked="1"/>
        <c:majorTickMark val="none"/>
        <c:minorTickMark val="none"/>
        <c:tickLblPos val="nextTo"/>
        <c:crossAx val="267394608"/>
        <c:crosses val="autoZero"/>
        <c:auto val="1"/>
        <c:lblAlgn val="ctr"/>
        <c:lblOffset val="100"/>
        <c:noMultiLvlLbl val="0"/>
      </c:catAx>
      <c:valAx>
        <c:axId val="267394608"/>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2673953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employment rates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Sheet1!$A$2:$A$9</c:f>
              <c:strCache>
                <c:ptCount val="8"/>
                <c:pt idx="0">
                  <c:v>No disability</c:v>
                </c:pt>
                <c:pt idx="1">
                  <c:v>Moderate disability</c:v>
                </c:pt>
                <c:pt idx="2">
                  <c:v>Severe disability</c:v>
                </c:pt>
                <c:pt idx="3">
                  <c:v>Disabled women</c:v>
                </c:pt>
                <c:pt idx="4">
                  <c:v>Disabled men</c:v>
                </c:pt>
                <c:pt idx="5">
                  <c:v>Non-disabled women</c:v>
                </c:pt>
                <c:pt idx="6">
                  <c:v>Non-disabled men</c:v>
                </c:pt>
                <c:pt idx="7">
                  <c:v>Disabled total</c:v>
                </c:pt>
              </c:strCache>
            </c:strRef>
          </c:cat>
          <c:val>
            <c:numRef>
              <c:f>Sheet1!$B$2:$B$9</c:f>
              <c:numCache>
                <c:formatCode>0.0</c:formatCode>
                <c:ptCount val="8"/>
                <c:pt idx="0">
                  <c:v>73.12</c:v>
                </c:pt>
                <c:pt idx="1">
                  <c:v>55.16</c:v>
                </c:pt>
                <c:pt idx="2">
                  <c:v>27.59</c:v>
                </c:pt>
                <c:pt idx="3">
                  <c:v>44.65</c:v>
                </c:pt>
                <c:pt idx="4">
                  <c:v>50.59</c:v>
                </c:pt>
                <c:pt idx="5">
                  <c:v>66.86</c:v>
                </c:pt>
                <c:pt idx="6">
                  <c:v>79.39</c:v>
                </c:pt>
                <c:pt idx="7">
                  <c:v>47.42</c:v>
                </c:pt>
              </c:numCache>
            </c:numRef>
          </c:val>
          <c:extLst>
            <c:ext xmlns:c16="http://schemas.microsoft.com/office/drawing/2014/chart" uri="{C3380CC4-5D6E-409C-BE32-E72D297353CC}">
              <c16:uniqueId val="{00000000-C96F-4479-A77E-F5F2BEB73715}"/>
            </c:ext>
          </c:extLst>
        </c:ser>
        <c:ser>
          <c:idx val="1"/>
          <c:order val="1"/>
          <c:tx>
            <c:strRef>
              <c:f>Sheet1!$C$1</c:f>
              <c:strCache>
                <c:ptCount val="1"/>
                <c:pt idx="0">
                  <c:v>National average</c:v>
                </c:pt>
              </c:strCache>
            </c:strRef>
          </c:tx>
          <c:invertIfNegative val="0"/>
          <c:cat>
            <c:strRef>
              <c:f>Sheet1!$A$2:$A$9</c:f>
              <c:strCache>
                <c:ptCount val="8"/>
                <c:pt idx="0">
                  <c:v>No disability</c:v>
                </c:pt>
                <c:pt idx="1">
                  <c:v>Moderate disability</c:v>
                </c:pt>
                <c:pt idx="2">
                  <c:v>Severe disability</c:v>
                </c:pt>
                <c:pt idx="3">
                  <c:v>Disabled women</c:v>
                </c:pt>
                <c:pt idx="4">
                  <c:v>Disabled men</c:v>
                </c:pt>
                <c:pt idx="5">
                  <c:v>Non-disabled women</c:v>
                </c:pt>
                <c:pt idx="6">
                  <c:v>Non-disabled men</c:v>
                </c:pt>
                <c:pt idx="7">
                  <c:v>Disabled total</c:v>
                </c:pt>
              </c:strCache>
            </c:strRef>
          </c:cat>
          <c:val>
            <c:numRef>
              <c:f>Sheet1!$C$2:$C$9</c:f>
              <c:numCache>
                <c:formatCode>0.0</c:formatCode>
                <c:ptCount val="8"/>
                <c:pt idx="0">
                  <c:v>72.87</c:v>
                </c:pt>
                <c:pt idx="1">
                  <c:v>51.1</c:v>
                </c:pt>
                <c:pt idx="2">
                  <c:v>14.62</c:v>
                </c:pt>
                <c:pt idx="3">
                  <c:v>36.51</c:v>
                </c:pt>
                <c:pt idx="4">
                  <c:v>52.42</c:v>
                </c:pt>
                <c:pt idx="5">
                  <c:v>62.67</c:v>
                </c:pt>
                <c:pt idx="6">
                  <c:v>82.43</c:v>
                </c:pt>
                <c:pt idx="7">
                  <c:v>38.799999999999997</c:v>
                </c:pt>
              </c:numCache>
            </c:numRef>
          </c:val>
          <c:extLst>
            <c:ext xmlns:c16="http://schemas.microsoft.com/office/drawing/2014/chart" uri="{C3380CC4-5D6E-409C-BE32-E72D297353CC}">
              <c16:uniqueId val="{00000001-C96F-4479-A77E-F5F2BEB73715}"/>
            </c:ext>
          </c:extLst>
        </c:ser>
        <c:dLbls>
          <c:showLegendKey val="0"/>
          <c:showVal val="0"/>
          <c:showCatName val="0"/>
          <c:showSerName val="0"/>
          <c:showPercent val="0"/>
          <c:showBubbleSize val="0"/>
        </c:dLbls>
        <c:gapWidth val="150"/>
        <c:axId val="609220904"/>
        <c:axId val="609213456"/>
      </c:barChart>
      <c:catAx>
        <c:axId val="609220904"/>
        <c:scaling>
          <c:orientation val="minMax"/>
        </c:scaling>
        <c:delete val="0"/>
        <c:axPos val="b"/>
        <c:numFmt formatCode="General" sourceLinked="1"/>
        <c:majorTickMark val="none"/>
        <c:minorTickMark val="none"/>
        <c:tickLblPos val="nextTo"/>
        <c:crossAx val="609213456"/>
        <c:crosses val="autoZero"/>
        <c:auto val="1"/>
        <c:lblAlgn val="ctr"/>
        <c:lblOffset val="100"/>
        <c:noMultiLvlLbl val="0"/>
      </c:catAx>
      <c:valAx>
        <c:axId val="60921345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609220904"/>
        <c:crosses val="autoZero"/>
        <c:crossBetween val="between"/>
      </c:valAx>
      <c:dTable>
        <c:showHorzBorder val="1"/>
        <c:showVertBorder val="1"/>
        <c:showOutline val="1"/>
        <c:showKeys val="1"/>
        <c:txPr>
          <a:bodyPr/>
          <a:lstStyle/>
          <a:p>
            <a:pPr rtl="0">
              <a:defRPr spc="-100" baseline="0"/>
            </a:pPr>
            <a:endParaRPr lang="nl-NL"/>
          </a:p>
        </c:txPr>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t>Employment rates by age group</a:t>
            </a:r>
          </a:p>
        </c:rich>
      </c:tx>
      <c:layout>
        <c:manualLayout>
          <c:xMode val="edge"/>
          <c:yMode val="edge"/>
          <c:x val="0.23232505421773497"/>
          <c:y val="2.4509803921568627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24.650289999999998</c:v>
                </c:pt>
                <c:pt idx="1">
                  <c:v>55.787278999999998</c:v>
                </c:pt>
                <c:pt idx="2">
                  <c:v>61.676109000000004</c:v>
                </c:pt>
                <c:pt idx="3">
                  <c:v>56.583708000000001</c:v>
                </c:pt>
                <c:pt idx="4">
                  <c:v>33.455477999999999</c:v>
                </c:pt>
              </c:numCache>
            </c:numRef>
          </c:val>
          <c:smooth val="0"/>
          <c:extLst>
            <c:ext xmlns:c16="http://schemas.microsoft.com/office/drawing/2014/chart" uri="{C3380CC4-5D6E-409C-BE32-E72D297353CC}">
              <c16:uniqueId val="{00000000-E9AB-457C-ABEB-3D7C4B97EA2D}"/>
            </c:ext>
          </c:extLst>
        </c:ser>
        <c:ser>
          <c:idx val="1"/>
          <c:order val="1"/>
          <c:tx>
            <c:strRef>
              <c:f>Sheet1!$C$1</c:f>
              <c:strCache>
                <c:ptCount val="1"/>
                <c:pt idx="0">
                  <c:v>EU average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30.100293000000001</c:v>
                </c:pt>
                <c:pt idx="1">
                  <c:v>75.006152999999998</c:v>
                </c:pt>
                <c:pt idx="2">
                  <c:v>83.757807</c:v>
                </c:pt>
                <c:pt idx="3">
                  <c:v>83.945782999999992</c:v>
                </c:pt>
                <c:pt idx="4">
                  <c:v>59.993842000000001</c:v>
                </c:pt>
              </c:numCache>
            </c:numRef>
          </c:val>
          <c:smooth val="0"/>
          <c:extLst>
            <c:ext xmlns:c16="http://schemas.microsoft.com/office/drawing/2014/chart" uri="{C3380CC4-5D6E-409C-BE32-E72D297353CC}">
              <c16:uniqueId val="{00000001-E9AB-457C-ABEB-3D7C4B97EA2D}"/>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19.595793999999998</c:v>
                </c:pt>
                <c:pt idx="1">
                  <c:v>57.686621000000002</c:v>
                </c:pt>
                <c:pt idx="2">
                  <c:v>69.549289999999999</c:v>
                </c:pt>
                <c:pt idx="3">
                  <c:v>59.610216999999999</c:v>
                </c:pt>
                <c:pt idx="4">
                  <c:v>25.740549000000001</c:v>
                </c:pt>
              </c:numCache>
            </c:numRef>
          </c:val>
          <c:smooth val="0"/>
          <c:extLst>
            <c:ext xmlns:c16="http://schemas.microsoft.com/office/drawing/2014/chart" uri="{C3380CC4-5D6E-409C-BE32-E72D297353CC}">
              <c16:uniqueId val="{00000002-E9AB-457C-ABEB-3D7C4B97EA2D}"/>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22.736308000000001</c:v>
                </c:pt>
                <c:pt idx="1">
                  <c:v>77.362977000000001</c:v>
                </c:pt>
                <c:pt idx="2">
                  <c:v>84.740200999999999</c:v>
                </c:pt>
                <c:pt idx="3">
                  <c:v>85.485438000000002</c:v>
                </c:pt>
                <c:pt idx="4">
                  <c:v>54.699282000000004</c:v>
                </c:pt>
              </c:numCache>
            </c:numRef>
          </c:val>
          <c:smooth val="0"/>
          <c:extLst>
            <c:ext xmlns:c16="http://schemas.microsoft.com/office/drawing/2014/chart" uri="{C3380CC4-5D6E-409C-BE32-E72D297353CC}">
              <c16:uniqueId val="{00000003-E9AB-457C-ABEB-3D7C4B97EA2D}"/>
            </c:ext>
          </c:extLst>
        </c:ser>
        <c:dLbls>
          <c:showLegendKey val="0"/>
          <c:showVal val="0"/>
          <c:showCatName val="0"/>
          <c:showSerName val="0"/>
          <c:showPercent val="0"/>
          <c:showBubbleSize val="0"/>
        </c:dLbls>
        <c:marker val="1"/>
        <c:smooth val="0"/>
        <c:axId val="609215416"/>
        <c:axId val="609215808"/>
      </c:lineChart>
      <c:catAx>
        <c:axId val="609215416"/>
        <c:scaling>
          <c:orientation val="minMax"/>
        </c:scaling>
        <c:delete val="0"/>
        <c:axPos val="b"/>
        <c:numFmt formatCode="General" sourceLinked="1"/>
        <c:majorTickMark val="none"/>
        <c:minorTickMark val="none"/>
        <c:tickLblPos val="nextTo"/>
        <c:crossAx val="609215808"/>
        <c:crosses val="autoZero"/>
        <c:auto val="1"/>
        <c:lblAlgn val="ctr"/>
        <c:lblOffset val="100"/>
        <c:noMultiLvlLbl val="0"/>
      </c:catAx>
      <c:valAx>
        <c:axId val="609215808"/>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6092154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t>National</a:t>
            </a:r>
            <a:r>
              <a:rPr lang="en-GB" sz="1600" baseline="0"/>
              <a:t> t</a:t>
            </a:r>
            <a:r>
              <a:rPr lang="en-GB" sz="1600"/>
              <a:t>rends in employment rates</a:t>
            </a:r>
          </a:p>
        </c:rich>
      </c:tx>
      <c:overlay val="0"/>
    </c:title>
    <c:autoTitleDeleted val="0"/>
    <c:plotArea>
      <c:layout/>
      <c:lineChart>
        <c:grouping val="standard"/>
        <c:varyColors val="0"/>
        <c:ser>
          <c:idx val="0"/>
          <c:order val="0"/>
          <c:tx>
            <c:strRef>
              <c:f>Sheet1!$B$1</c:f>
              <c:strCache>
                <c:ptCount val="1"/>
                <c:pt idx="0">
                  <c:v>Disabled women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Sheet1!$B$2:$B$9</c:f>
              <c:numCache>
                <c:formatCode>0.0</c:formatCode>
                <c:ptCount val="8"/>
                <c:pt idx="0">
                  <c:v>26.5</c:v>
                </c:pt>
                <c:pt idx="1">
                  <c:v>27.2</c:v>
                </c:pt>
                <c:pt idx="2">
                  <c:v>33.1</c:v>
                </c:pt>
                <c:pt idx="3">
                  <c:v>32.6</c:v>
                </c:pt>
                <c:pt idx="4">
                  <c:v>33.299999999999997</c:v>
                </c:pt>
                <c:pt idx="5">
                  <c:v>33.29</c:v>
                </c:pt>
                <c:pt idx="6">
                  <c:v>35.21</c:v>
                </c:pt>
                <c:pt idx="7">
                  <c:v>36.51</c:v>
                </c:pt>
              </c:numCache>
            </c:numRef>
          </c:val>
          <c:smooth val="0"/>
          <c:extLst>
            <c:ext xmlns:c16="http://schemas.microsoft.com/office/drawing/2014/chart" uri="{C3380CC4-5D6E-409C-BE32-E72D297353CC}">
              <c16:uniqueId val="{00000000-B08D-497C-91DD-E7AC18800280}"/>
            </c:ext>
          </c:extLst>
        </c:ser>
        <c:ser>
          <c:idx val="1"/>
          <c:order val="1"/>
          <c:tx>
            <c:strRef>
              <c:f>Sheet1!$C$1</c:f>
              <c:strCache>
                <c:ptCount val="1"/>
                <c:pt idx="0">
                  <c:v>Disabled 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Sheet1!$C$2:$C$9</c:f>
              <c:numCache>
                <c:formatCode>0.0</c:formatCode>
                <c:ptCount val="8"/>
                <c:pt idx="0">
                  <c:v>31.8</c:v>
                </c:pt>
                <c:pt idx="1">
                  <c:v>32.299999999999997</c:v>
                </c:pt>
                <c:pt idx="2">
                  <c:v>43.7</c:v>
                </c:pt>
                <c:pt idx="3">
                  <c:v>46.5</c:v>
                </c:pt>
                <c:pt idx="4">
                  <c:v>48.4</c:v>
                </c:pt>
                <c:pt idx="5">
                  <c:v>46.99</c:v>
                </c:pt>
                <c:pt idx="6">
                  <c:v>51.35</c:v>
                </c:pt>
                <c:pt idx="7">
                  <c:v>52.42</c:v>
                </c:pt>
              </c:numCache>
            </c:numRef>
          </c:val>
          <c:smooth val="0"/>
          <c:extLst>
            <c:ext xmlns:c16="http://schemas.microsoft.com/office/drawing/2014/chart" uri="{C3380CC4-5D6E-409C-BE32-E72D297353CC}">
              <c16:uniqueId val="{00000001-B08D-497C-91DD-E7AC18800280}"/>
            </c:ext>
          </c:extLst>
        </c:ser>
        <c:ser>
          <c:idx val="2"/>
          <c:order val="2"/>
          <c:tx>
            <c:strRef>
              <c:f>Sheet1!$D$1</c:f>
              <c:strCache>
                <c:ptCount val="1"/>
                <c:pt idx="0">
                  <c:v>Non-disabled women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Sheet1!$D$2:$D$9</c:f>
              <c:numCache>
                <c:formatCode>0.0</c:formatCode>
                <c:ptCount val="8"/>
                <c:pt idx="0">
                  <c:v>58.7</c:v>
                </c:pt>
                <c:pt idx="1">
                  <c:v>58.5</c:v>
                </c:pt>
                <c:pt idx="2">
                  <c:v>60.1</c:v>
                </c:pt>
                <c:pt idx="3">
                  <c:v>61</c:v>
                </c:pt>
                <c:pt idx="4">
                  <c:v>60.5</c:v>
                </c:pt>
                <c:pt idx="5">
                  <c:v>62.23</c:v>
                </c:pt>
                <c:pt idx="6">
                  <c:v>62.66</c:v>
                </c:pt>
                <c:pt idx="7">
                  <c:v>62.67</c:v>
                </c:pt>
              </c:numCache>
            </c:numRef>
          </c:val>
          <c:smooth val="0"/>
          <c:extLst>
            <c:ext xmlns:c16="http://schemas.microsoft.com/office/drawing/2014/chart" uri="{C3380CC4-5D6E-409C-BE32-E72D297353CC}">
              <c16:uniqueId val="{00000002-B08D-497C-91DD-E7AC18800280}"/>
            </c:ext>
          </c:extLst>
        </c:ser>
        <c:ser>
          <c:idx val="3"/>
          <c:order val="3"/>
          <c:tx>
            <c:strRef>
              <c:f>Sheet1!$E$1</c:f>
              <c:strCache>
                <c:ptCount val="1"/>
                <c:pt idx="0">
                  <c:v>Non-disabled 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Sheet1!$E$2:$E$9</c:f>
              <c:numCache>
                <c:formatCode>0.0</c:formatCode>
                <c:ptCount val="8"/>
                <c:pt idx="0">
                  <c:v>79.7</c:v>
                </c:pt>
                <c:pt idx="1">
                  <c:v>80.599999999999994</c:v>
                </c:pt>
                <c:pt idx="2">
                  <c:v>81.400000000000006</c:v>
                </c:pt>
                <c:pt idx="3">
                  <c:v>81.599999999999994</c:v>
                </c:pt>
                <c:pt idx="4">
                  <c:v>82.5</c:v>
                </c:pt>
                <c:pt idx="5">
                  <c:v>82.6</c:v>
                </c:pt>
                <c:pt idx="6">
                  <c:v>82.46</c:v>
                </c:pt>
                <c:pt idx="7">
                  <c:v>82.43</c:v>
                </c:pt>
              </c:numCache>
            </c:numRef>
          </c:val>
          <c:smooth val="0"/>
          <c:extLst>
            <c:ext xmlns:c16="http://schemas.microsoft.com/office/drawing/2014/chart" uri="{C3380CC4-5D6E-409C-BE32-E72D297353CC}">
              <c16:uniqueId val="{00000003-B08D-497C-91DD-E7AC18800280}"/>
            </c:ext>
          </c:extLst>
        </c:ser>
        <c:ser>
          <c:idx val="4"/>
          <c:order val="4"/>
          <c:tx>
            <c:strRef>
              <c:f>Sheet1!$F$1</c:f>
              <c:strCache>
                <c:ptCount val="1"/>
                <c:pt idx="0">
                  <c:v>EU average (total)</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Sheet1!$F$2:$F$9</c:f>
              <c:numCache>
                <c:formatCode>0.0</c:formatCode>
                <c:ptCount val="8"/>
                <c:pt idx="0">
                  <c:v>68.7</c:v>
                </c:pt>
                <c:pt idx="1">
                  <c:v>67.599999999999994</c:v>
                </c:pt>
                <c:pt idx="2">
                  <c:v>67.2</c:v>
                </c:pt>
                <c:pt idx="3">
                  <c:v>67.2</c:v>
                </c:pt>
                <c:pt idx="4">
                  <c:v>67</c:v>
                </c:pt>
                <c:pt idx="5">
                  <c:v>66.900000000000006</c:v>
                </c:pt>
                <c:pt idx="6">
                  <c:v>67.8</c:v>
                </c:pt>
                <c:pt idx="7">
                  <c:v>68.37</c:v>
                </c:pt>
              </c:numCache>
            </c:numRef>
          </c:val>
          <c:smooth val="0"/>
          <c:extLst>
            <c:ext xmlns:c16="http://schemas.microsoft.com/office/drawing/2014/chart" uri="{C3380CC4-5D6E-409C-BE32-E72D297353CC}">
              <c16:uniqueId val="{00000004-B08D-497C-91DD-E7AC18800280}"/>
            </c:ext>
          </c:extLst>
        </c:ser>
        <c:dLbls>
          <c:showLegendKey val="0"/>
          <c:showVal val="0"/>
          <c:showCatName val="0"/>
          <c:showSerName val="0"/>
          <c:showPercent val="0"/>
          <c:showBubbleSize val="0"/>
        </c:dLbls>
        <c:marker val="1"/>
        <c:smooth val="0"/>
        <c:axId val="609218552"/>
        <c:axId val="609218944"/>
      </c:lineChart>
      <c:catAx>
        <c:axId val="609218552"/>
        <c:scaling>
          <c:orientation val="minMax"/>
        </c:scaling>
        <c:delete val="0"/>
        <c:axPos val="b"/>
        <c:numFmt formatCode="General" sourceLinked="1"/>
        <c:majorTickMark val="none"/>
        <c:minorTickMark val="none"/>
        <c:tickLblPos val="nextTo"/>
        <c:crossAx val="609218944"/>
        <c:crosses val="autoZero"/>
        <c:auto val="1"/>
        <c:lblAlgn val="ctr"/>
        <c:lblOffset val="100"/>
        <c:noMultiLvlLbl val="0"/>
      </c:catAx>
      <c:valAx>
        <c:axId val="60921894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6092185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unemployment rates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Sheet1!$B$2:$B$7</c:f>
              <c:numCache>
                <c:formatCode>0.0</c:formatCode>
                <c:ptCount val="6"/>
                <c:pt idx="0">
                  <c:v>19.38</c:v>
                </c:pt>
                <c:pt idx="1">
                  <c:v>21.09</c:v>
                </c:pt>
                <c:pt idx="2">
                  <c:v>11.05</c:v>
                </c:pt>
                <c:pt idx="3">
                  <c:v>10.51</c:v>
                </c:pt>
                <c:pt idx="4">
                  <c:v>20.239999999999998</c:v>
                </c:pt>
                <c:pt idx="5">
                  <c:v>10.76</c:v>
                </c:pt>
              </c:numCache>
            </c:numRef>
          </c:val>
          <c:extLst>
            <c:ext xmlns:c16="http://schemas.microsoft.com/office/drawing/2014/chart" uri="{C3380CC4-5D6E-409C-BE32-E72D297353CC}">
              <c16:uniqueId val="{00000000-E3AE-4026-B39E-36C02B8B10BB}"/>
            </c:ext>
          </c:extLst>
        </c:ser>
        <c:ser>
          <c:idx val="1"/>
          <c:order val="1"/>
          <c:tx>
            <c:strRef>
              <c:f>Sheet1!$C$1</c:f>
              <c:strCache>
                <c:ptCount val="1"/>
                <c:pt idx="0">
                  <c:v>National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Sheet1!$C$2:$C$7</c:f>
              <c:numCache>
                <c:formatCode>0.0</c:formatCode>
                <c:ptCount val="6"/>
                <c:pt idx="0">
                  <c:v>2.57</c:v>
                </c:pt>
                <c:pt idx="1">
                  <c:v>5.76</c:v>
                </c:pt>
                <c:pt idx="2">
                  <c:v>2.58</c:v>
                </c:pt>
                <c:pt idx="3">
                  <c:v>5.6</c:v>
                </c:pt>
                <c:pt idx="4">
                  <c:v>4.26</c:v>
                </c:pt>
                <c:pt idx="5">
                  <c:v>4.37</c:v>
                </c:pt>
              </c:numCache>
            </c:numRef>
          </c:val>
          <c:extLst>
            <c:ext xmlns:c16="http://schemas.microsoft.com/office/drawing/2014/chart" uri="{C3380CC4-5D6E-409C-BE32-E72D297353CC}">
              <c16:uniqueId val="{00000001-E3AE-4026-B39E-36C02B8B10BB}"/>
            </c:ext>
          </c:extLst>
        </c:ser>
        <c:dLbls>
          <c:showLegendKey val="0"/>
          <c:showVal val="0"/>
          <c:showCatName val="0"/>
          <c:showSerName val="0"/>
          <c:showPercent val="0"/>
          <c:showBubbleSize val="0"/>
        </c:dLbls>
        <c:gapWidth val="150"/>
        <c:axId val="440119352"/>
        <c:axId val="440118176"/>
      </c:barChart>
      <c:catAx>
        <c:axId val="440119352"/>
        <c:scaling>
          <c:orientation val="minMax"/>
        </c:scaling>
        <c:delete val="0"/>
        <c:axPos val="b"/>
        <c:numFmt formatCode="General" sourceLinked="1"/>
        <c:majorTickMark val="none"/>
        <c:minorTickMark val="none"/>
        <c:tickLblPos val="nextTo"/>
        <c:crossAx val="440118176"/>
        <c:crosses val="autoZero"/>
        <c:auto val="1"/>
        <c:lblAlgn val="ctr"/>
        <c:lblOffset val="100"/>
        <c:noMultiLvlLbl val="0"/>
      </c:catAx>
      <c:valAx>
        <c:axId val="44011817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44011935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Unemployment rates by age group</a:t>
            </a:r>
          </a:p>
        </c:rich>
      </c:tx>
      <c:layout>
        <c:manualLayout>
          <c:xMode val="edge"/>
          <c:yMode val="edge"/>
          <c:x val="0.23232505421773497"/>
          <c:y val="2.4509803921568627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29.652888000000001</c:v>
                </c:pt>
                <c:pt idx="1">
                  <c:v>21.692636</c:v>
                </c:pt>
                <c:pt idx="2">
                  <c:v>17.754849</c:v>
                </c:pt>
                <c:pt idx="3">
                  <c:v>18.834569000000002</c:v>
                </c:pt>
                <c:pt idx="4">
                  <c:v>22.330279999999998</c:v>
                </c:pt>
              </c:numCache>
            </c:numRef>
          </c:val>
          <c:smooth val="0"/>
          <c:extLst>
            <c:ext xmlns:c16="http://schemas.microsoft.com/office/drawing/2014/chart" uri="{C3380CC4-5D6E-409C-BE32-E72D297353CC}">
              <c16:uniqueId val="{00000000-8454-4DF1-8A0A-449762C4C40A}"/>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23.285374999999998</c:v>
                </c:pt>
                <c:pt idx="1">
                  <c:v>12.416703</c:v>
                </c:pt>
                <c:pt idx="2">
                  <c:v>8.7998320000000003</c:v>
                </c:pt>
                <c:pt idx="3">
                  <c:v>8.2333180000000006</c:v>
                </c:pt>
                <c:pt idx="4">
                  <c:v>10.327094000000001</c:v>
                </c:pt>
              </c:numCache>
            </c:numRef>
          </c:val>
          <c:smooth val="0"/>
          <c:extLst>
            <c:ext xmlns:c16="http://schemas.microsoft.com/office/drawing/2014/chart" uri="{C3380CC4-5D6E-409C-BE32-E72D297353CC}">
              <c16:uniqueId val="{00000001-8454-4DF1-8A0A-449762C4C40A}"/>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1">
                  <c:v>2.6118649999999999</c:v>
                </c:pt>
                <c:pt idx="2">
                  <c:v>3.4277389999999999</c:v>
                </c:pt>
                <c:pt idx="3">
                  <c:v>5.394933</c:v>
                </c:pt>
                <c:pt idx="4">
                  <c:v>4.4630619999999999</c:v>
                </c:pt>
              </c:numCache>
            </c:numRef>
          </c:val>
          <c:smooth val="0"/>
          <c:extLst>
            <c:ext xmlns:c16="http://schemas.microsoft.com/office/drawing/2014/chart" uri="{C3380CC4-5D6E-409C-BE32-E72D297353CC}">
              <c16:uniqueId val="{00000002-8454-4DF1-8A0A-449762C4C40A}"/>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18.716162999999998</c:v>
                </c:pt>
                <c:pt idx="1">
                  <c:v>5.7536709999999998</c:v>
                </c:pt>
                <c:pt idx="2">
                  <c:v>3.029042</c:v>
                </c:pt>
                <c:pt idx="3">
                  <c:v>2.2558910000000001</c:v>
                </c:pt>
                <c:pt idx="4">
                  <c:v>3.1389630000000004</c:v>
                </c:pt>
              </c:numCache>
            </c:numRef>
          </c:val>
          <c:smooth val="0"/>
          <c:extLst>
            <c:ext xmlns:c16="http://schemas.microsoft.com/office/drawing/2014/chart" uri="{C3380CC4-5D6E-409C-BE32-E72D297353CC}">
              <c16:uniqueId val="{00000003-8454-4DF1-8A0A-449762C4C40A}"/>
            </c:ext>
          </c:extLst>
        </c:ser>
        <c:dLbls>
          <c:showLegendKey val="0"/>
          <c:showVal val="0"/>
          <c:showCatName val="0"/>
          <c:showSerName val="0"/>
          <c:showPercent val="0"/>
          <c:showBubbleSize val="0"/>
        </c:dLbls>
        <c:marker val="1"/>
        <c:smooth val="0"/>
        <c:axId val="440118568"/>
        <c:axId val="440115040"/>
      </c:lineChart>
      <c:catAx>
        <c:axId val="440118568"/>
        <c:scaling>
          <c:orientation val="minMax"/>
        </c:scaling>
        <c:delete val="0"/>
        <c:axPos val="b"/>
        <c:numFmt formatCode="General" sourceLinked="1"/>
        <c:majorTickMark val="none"/>
        <c:minorTickMark val="none"/>
        <c:tickLblPos val="nextTo"/>
        <c:crossAx val="440115040"/>
        <c:crosses val="autoZero"/>
        <c:auto val="1"/>
        <c:lblAlgn val="ctr"/>
        <c:lblOffset val="100"/>
        <c:noMultiLvlLbl val="0"/>
      </c:catAx>
      <c:valAx>
        <c:axId val="44011504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44011856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National</a:t>
            </a:r>
            <a:r>
              <a:rPr lang="en-GB" sz="1600" baseline="0"/>
              <a:t> t</a:t>
            </a:r>
            <a:r>
              <a:rPr lang="en-GB" sz="1600"/>
              <a:t>rends in unemployment rates</a:t>
            </a:r>
          </a:p>
        </c:rich>
      </c:tx>
      <c:overlay val="0"/>
    </c:title>
    <c:autoTitleDeleted val="0"/>
    <c:plotArea>
      <c:layout/>
      <c:lineChart>
        <c:grouping val="standard"/>
        <c:varyColors val="0"/>
        <c:ser>
          <c:idx val="0"/>
          <c:order val="0"/>
          <c:tx>
            <c:strRef>
              <c:f>Sheet1!$B$1</c:f>
              <c:strCache>
                <c:ptCount val="1"/>
                <c:pt idx="0">
                  <c:v>Disabled women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Sheet1!$B$2:$B$9</c:f>
              <c:numCache>
                <c:formatCode>General</c:formatCode>
                <c:ptCount val="8"/>
                <c:pt idx="0">
                  <c:v>2.9</c:v>
                </c:pt>
                <c:pt idx="1">
                  <c:v>2.9</c:v>
                </c:pt>
                <c:pt idx="2">
                  <c:v>4</c:v>
                </c:pt>
                <c:pt idx="3">
                  <c:v>3.4</c:v>
                </c:pt>
                <c:pt idx="4">
                  <c:v>3.4</c:v>
                </c:pt>
                <c:pt idx="5">
                  <c:v>2.82</c:v>
                </c:pt>
                <c:pt idx="6" formatCode="0.0">
                  <c:v>3.35</c:v>
                </c:pt>
                <c:pt idx="7" formatCode="0.0">
                  <c:v>2.57</c:v>
                </c:pt>
              </c:numCache>
            </c:numRef>
          </c:val>
          <c:smooth val="0"/>
          <c:extLst>
            <c:ext xmlns:c16="http://schemas.microsoft.com/office/drawing/2014/chart" uri="{C3380CC4-5D6E-409C-BE32-E72D297353CC}">
              <c16:uniqueId val="{00000000-0CB9-4F12-826D-D90D3972BAB8}"/>
            </c:ext>
          </c:extLst>
        </c:ser>
        <c:ser>
          <c:idx val="1"/>
          <c:order val="1"/>
          <c:tx>
            <c:strRef>
              <c:f>Sheet1!$C$1</c:f>
              <c:strCache>
                <c:ptCount val="1"/>
                <c:pt idx="0">
                  <c:v>Disabled men</c:v>
                </c:pt>
              </c:strCache>
            </c:strRef>
          </c:tx>
          <c:trendline>
            <c:trendlineType val="linear"/>
            <c:dispRSqr val="0"/>
            <c:dispEq val="0"/>
          </c:trendline>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Sheet1!$C$2:$C$9</c:f>
              <c:numCache>
                <c:formatCode>General</c:formatCode>
                <c:ptCount val="8"/>
                <c:pt idx="0">
                  <c:v>8.6999999999999993</c:v>
                </c:pt>
                <c:pt idx="1">
                  <c:v>12.2</c:v>
                </c:pt>
                <c:pt idx="2">
                  <c:v>8.6</c:v>
                </c:pt>
                <c:pt idx="3">
                  <c:v>4.2</c:v>
                </c:pt>
                <c:pt idx="4">
                  <c:v>6.3</c:v>
                </c:pt>
                <c:pt idx="5">
                  <c:v>8.3699999999999992</c:v>
                </c:pt>
                <c:pt idx="6" formatCode="0.0">
                  <c:v>6.67</c:v>
                </c:pt>
                <c:pt idx="7" formatCode="0.0">
                  <c:v>5.76</c:v>
                </c:pt>
              </c:numCache>
            </c:numRef>
          </c:val>
          <c:smooth val="0"/>
          <c:extLst>
            <c:ext xmlns:c16="http://schemas.microsoft.com/office/drawing/2014/chart" uri="{C3380CC4-5D6E-409C-BE32-E72D297353CC}">
              <c16:uniqueId val="{00000002-0CB9-4F12-826D-D90D3972BAB8}"/>
            </c:ext>
          </c:extLst>
        </c:ser>
        <c:ser>
          <c:idx val="2"/>
          <c:order val="2"/>
          <c:tx>
            <c:strRef>
              <c:f>Sheet1!$D$1</c:f>
              <c:strCache>
                <c:ptCount val="1"/>
                <c:pt idx="0">
                  <c:v>Non-disabled women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Sheet1!$D$2:$D$9</c:f>
              <c:numCache>
                <c:formatCode>General</c:formatCode>
                <c:ptCount val="8"/>
                <c:pt idx="0">
                  <c:v>3.2</c:v>
                </c:pt>
                <c:pt idx="1">
                  <c:v>3.6</c:v>
                </c:pt>
                <c:pt idx="2">
                  <c:v>4.5999999999999996</c:v>
                </c:pt>
                <c:pt idx="3">
                  <c:v>6.3</c:v>
                </c:pt>
                <c:pt idx="4">
                  <c:v>4</c:v>
                </c:pt>
                <c:pt idx="5">
                  <c:v>3.72</c:v>
                </c:pt>
                <c:pt idx="6" formatCode="0.0">
                  <c:v>3.57</c:v>
                </c:pt>
                <c:pt idx="7" formatCode="0.0">
                  <c:v>2.58</c:v>
                </c:pt>
              </c:numCache>
            </c:numRef>
          </c:val>
          <c:smooth val="0"/>
          <c:extLst>
            <c:ext xmlns:c16="http://schemas.microsoft.com/office/drawing/2014/chart" uri="{C3380CC4-5D6E-409C-BE32-E72D297353CC}">
              <c16:uniqueId val="{00000003-0CB9-4F12-826D-D90D3972BAB8}"/>
            </c:ext>
          </c:extLst>
        </c:ser>
        <c:ser>
          <c:idx val="3"/>
          <c:order val="3"/>
          <c:tx>
            <c:strRef>
              <c:f>Sheet1!$E$1</c:f>
              <c:strCache>
                <c:ptCount val="1"/>
                <c:pt idx="0">
                  <c:v>Non-disabled men</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Sheet1!$E$2:$E$9</c:f>
              <c:numCache>
                <c:formatCode>General</c:formatCode>
                <c:ptCount val="8"/>
                <c:pt idx="0">
                  <c:v>5.9</c:v>
                </c:pt>
                <c:pt idx="1">
                  <c:v>5.5</c:v>
                </c:pt>
                <c:pt idx="2">
                  <c:v>6.1</c:v>
                </c:pt>
                <c:pt idx="3">
                  <c:v>6.2</c:v>
                </c:pt>
                <c:pt idx="4">
                  <c:v>5.4</c:v>
                </c:pt>
                <c:pt idx="5">
                  <c:v>5.29</c:v>
                </c:pt>
                <c:pt idx="6" formatCode="0.0">
                  <c:v>5.65</c:v>
                </c:pt>
                <c:pt idx="7" formatCode="0.0">
                  <c:v>5.6</c:v>
                </c:pt>
              </c:numCache>
            </c:numRef>
          </c:val>
          <c:smooth val="0"/>
          <c:extLst>
            <c:ext xmlns:c16="http://schemas.microsoft.com/office/drawing/2014/chart" uri="{C3380CC4-5D6E-409C-BE32-E72D297353CC}">
              <c16:uniqueId val="{00000004-0CB9-4F12-826D-D90D3972BAB8}"/>
            </c:ext>
          </c:extLst>
        </c:ser>
        <c:ser>
          <c:idx val="4"/>
          <c:order val="4"/>
          <c:tx>
            <c:strRef>
              <c:f>Sheet1!$F$1</c:f>
              <c:strCache>
                <c:ptCount val="1"/>
                <c:pt idx="0">
                  <c:v>EU average (all)</c:v>
                </c:pt>
              </c:strCache>
            </c:strRef>
          </c:tx>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Sheet1!$F$2:$F$9</c:f>
              <c:numCache>
                <c:formatCode>General</c:formatCode>
                <c:ptCount val="8"/>
                <c:pt idx="0">
                  <c:v>8.4</c:v>
                </c:pt>
                <c:pt idx="1">
                  <c:v>10.199999999999999</c:v>
                </c:pt>
                <c:pt idx="2">
                  <c:v>10.9</c:v>
                </c:pt>
                <c:pt idx="3">
                  <c:v>11.3</c:v>
                </c:pt>
                <c:pt idx="4">
                  <c:v>12.2</c:v>
                </c:pt>
                <c:pt idx="5">
                  <c:v>12.9</c:v>
                </c:pt>
                <c:pt idx="6" formatCode="0.0">
                  <c:v>12.6</c:v>
                </c:pt>
                <c:pt idx="7">
                  <c:v>12.1</c:v>
                </c:pt>
              </c:numCache>
            </c:numRef>
          </c:val>
          <c:smooth val="0"/>
          <c:extLst>
            <c:ext xmlns:c16="http://schemas.microsoft.com/office/drawing/2014/chart" uri="{C3380CC4-5D6E-409C-BE32-E72D297353CC}">
              <c16:uniqueId val="{00000005-0CB9-4F12-826D-D90D3972BAB8}"/>
            </c:ext>
          </c:extLst>
        </c:ser>
        <c:dLbls>
          <c:showLegendKey val="0"/>
          <c:showVal val="0"/>
          <c:showCatName val="0"/>
          <c:showSerName val="0"/>
          <c:showPercent val="0"/>
          <c:showBubbleSize val="0"/>
        </c:dLbls>
        <c:marker val="1"/>
        <c:smooth val="0"/>
        <c:axId val="440113864"/>
        <c:axId val="440113472"/>
      </c:lineChart>
      <c:catAx>
        <c:axId val="440113864"/>
        <c:scaling>
          <c:orientation val="minMax"/>
        </c:scaling>
        <c:delete val="0"/>
        <c:axPos val="b"/>
        <c:numFmt formatCode="General" sourceLinked="1"/>
        <c:majorTickMark val="none"/>
        <c:minorTickMark val="none"/>
        <c:tickLblPos val="nextTo"/>
        <c:crossAx val="440113472"/>
        <c:crosses val="autoZero"/>
        <c:auto val="1"/>
        <c:lblAlgn val="ctr"/>
        <c:lblOffset val="100"/>
        <c:noMultiLvlLbl val="0"/>
      </c:catAx>
      <c:valAx>
        <c:axId val="440113472"/>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44011386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economic activity rates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Sheet1!$B$2:$B$7</c:f>
              <c:numCache>
                <c:formatCode>0.0</c:formatCode>
                <c:ptCount val="6"/>
                <c:pt idx="0">
                  <c:v>55.39</c:v>
                </c:pt>
                <c:pt idx="1">
                  <c:v>64.11</c:v>
                </c:pt>
                <c:pt idx="2">
                  <c:v>75.17</c:v>
                </c:pt>
                <c:pt idx="3">
                  <c:v>88.72</c:v>
                </c:pt>
                <c:pt idx="4">
                  <c:v>59.45</c:v>
                </c:pt>
                <c:pt idx="5">
                  <c:v>81.94</c:v>
                </c:pt>
              </c:numCache>
            </c:numRef>
          </c:val>
          <c:extLst>
            <c:ext xmlns:c16="http://schemas.microsoft.com/office/drawing/2014/chart" uri="{C3380CC4-5D6E-409C-BE32-E72D297353CC}">
              <c16:uniqueId val="{00000000-5FB4-4F64-BA02-C7A7CCEAAD6E}"/>
            </c:ext>
          </c:extLst>
        </c:ser>
        <c:ser>
          <c:idx val="1"/>
          <c:order val="1"/>
          <c:tx>
            <c:strRef>
              <c:f>Sheet1!$C$1</c:f>
              <c:strCache>
                <c:ptCount val="1"/>
                <c:pt idx="0">
                  <c:v>National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Sheet1!$C$2:$C$7</c:f>
              <c:numCache>
                <c:formatCode>0.0</c:formatCode>
                <c:ptCount val="6"/>
                <c:pt idx="0">
                  <c:v>37.47</c:v>
                </c:pt>
                <c:pt idx="1">
                  <c:v>55.63</c:v>
                </c:pt>
                <c:pt idx="2">
                  <c:v>64.33</c:v>
                </c:pt>
                <c:pt idx="3">
                  <c:v>87.32</c:v>
                </c:pt>
                <c:pt idx="4">
                  <c:v>45.28</c:v>
                </c:pt>
                <c:pt idx="5">
                  <c:v>76.2</c:v>
                </c:pt>
              </c:numCache>
            </c:numRef>
          </c:val>
          <c:extLst>
            <c:ext xmlns:c16="http://schemas.microsoft.com/office/drawing/2014/chart" uri="{C3380CC4-5D6E-409C-BE32-E72D297353CC}">
              <c16:uniqueId val="{00000001-5FB4-4F64-BA02-C7A7CCEAAD6E}"/>
            </c:ext>
          </c:extLst>
        </c:ser>
        <c:dLbls>
          <c:showLegendKey val="0"/>
          <c:showVal val="0"/>
          <c:showCatName val="0"/>
          <c:showSerName val="0"/>
          <c:showPercent val="0"/>
          <c:showBubbleSize val="0"/>
        </c:dLbls>
        <c:gapWidth val="150"/>
        <c:axId val="440111904"/>
        <c:axId val="440116216"/>
      </c:barChart>
      <c:catAx>
        <c:axId val="440111904"/>
        <c:scaling>
          <c:orientation val="minMax"/>
        </c:scaling>
        <c:delete val="0"/>
        <c:axPos val="b"/>
        <c:numFmt formatCode="General" sourceLinked="1"/>
        <c:majorTickMark val="none"/>
        <c:minorTickMark val="none"/>
        <c:tickLblPos val="nextTo"/>
        <c:crossAx val="440116216"/>
        <c:crosses val="autoZero"/>
        <c:auto val="1"/>
        <c:lblAlgn val="ctr"/>
        <c:lblOffset val="100"/>
        <c:noMultiLvlLbl val="0"/>
      </c:catAx>
      <c:valAx>
        <c:axId val="44011621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44011190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Activity rates by age group</a:t>
            </a:r>
          </a:p>
        </c:rich>
      </c:tx>
      <c:layout>
        <c:manualLayout>
          <c:xMode val="edge"/>
          <c:yMode val="edge"/>
          <c:x val="0.23232505421773497"/>
          <c:y val="1.9755497007424284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35.040939999999999</c:v>
                </c:pt>
                <c:pt idx="1">
                  <c:v>71.241421000000003</c:v>
                </c:pt>
                <c:pt idx="2">
                  <c:v>74.990572</c:v>
                </c:pt>
                <c:pt idx="3">
                  <c:v>69.714049000000003</c:v>
                </c:pt>
                <c:pt idx="4">
                  <c:v>43.074029000000003</c:v>
                </c:pt>
              </c:numCache>
            </c:numRef>
          </c:val>
          <c:smooth val="0"/>
          <c:extLst>
            <c:ext xmlns:c16="http://schemas.microsoft.com/office/drawing/2014/chart" uri="{C3380CC4-5D6E-409C-BE32-E72D297353CC}">
              <c16:uniqueId val="{00000000-C695-45B4-82A7-E7258FDF3C6E}"/>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39.236708</c:v>
                </c:pt>
                <c:pt idx="1">
                  <c:v>85.639792</c:v>
                </c:pt>
                <c:pt idx="2">
                  <c:v>91.839530999999994</c:v>
                </c:pt>
                <c:pt idx="3">
                  <c:v>91.477408999999994</c:v>
                </c:pt>
                <c:pt idx="4">
                  <c:v>66.902974999999998</c:v>
                </c:pt>
              </c:numCache>
            </c:numRef>
          </c:val>
          <c:smooth val="0"/>
          <c:extLst>
            <c:ext xmlns:c16="http://schemas.microsoft.com/office/drawing/2014/chart" uri="{C3380CC4-5D6E-409C-BE32-E72D297353CC}">
              <c16:uniqueId val="{00000001-C695-45B4-82A7-E7258FDF3C6E}"/>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19.595793999999998</c:v>
                </c:pt>
                <c:pt idx="1">
                  <c:v>59.233725999999997</c:v>
                </c:pt>
                <c:pt idx="2">
                  <c:v>72.017874000000006</c:v>
                </c:pt>
                <c:pt idx="3">
                  <c:v>63.009539000000004</c:v>
                </c:pt>
                <c:pt idx="4">
                  <c:v>26.943033</c:v>
                </c:pt>
              </c:numCache>
            </c:numRef>
          </c:val>
          <c:smooth val="0"/>
          <c:extLst>
            <c:ext xmlns:c16="http://schemas.microsoft.com/office/drawing/2014/chart" uri="{C3380CC4-5D6E-409C-BE32-E72D297353CC}">
              <c16:uniqueId val="{00000002-C695-45B4-82A7-E7258FDF3C6E}"/>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27.971499999999999</c:v>
                </c:pt>
                <c:pt idx="1">
                  <c:v>82.085931000000002</c:v>
                </c:pt>
                <c:pt idx="2">
                  <c:v>87.387196000000003</c:v>
                </c:pt>
                <c:pt idx="3">
                  <c:v>87.458404000000002</c:v>
                </c:pt>
                <c:pt idx="4">
                  <c:v>56.471913999999998</c:v>
                </c:pt>
              </c:numCache>
            </c:numRef>
          </c:val>
          <c:smooth val="0"/>
          <c:extLst>
            <c:ext xmlns:c16="http://schemas.microsoft.com/office/drawing/2014/chart" uri="{C3380CC4-5D6E-409C-BE32-E72D297353CC}">
              <c16:uniqueId val="{00000003-C695-45B4-82A7-E7258FDF3C6E}"/>
            </c:ext>
          </c:extLst>
        </c:ser>
        <c:dLbls>
          <c:showLegendKey val="0"/>
          <c:showVal val="0"/>
          <c:showCatName val="0"/>
          <c:showSerName val="0"/>
          <c:showPercent val="0"/>
          <c:showBubbleSize val="0"/>
        </c:dLbls>
        <c:marker val="1"/>
        <c:smooth val="0"/>
        <c:axId val="440115824"/>
        <c:axId val="436043784"/>
      </c:lineChart>
      <c:catAx>
        <c:axId val="440115824"/>
        <c:scaling>
          <c:orientation val="minMax"/>
        </c:scaling>
        <c:delete val="0"/>
        <c:axPos val="b"/>
        <c:numFmt formatCode="General" sourceLinked="1"/>
        <c:majorTickMark val="none"/>
        <c:minorTickMark val="none"/>
        <c:tickLblPos val="nextTo"/>
        <c:crossAx val="436043784"/>
        <c:crosses val="autoZero"/>
        <c:auto val="1"/>
        <c:lblAlgn val="ctr"/>
        <c:lblOffset val="100"/>
        <c:noMultiLvlLbl val="0"/>
      </c:catAx>
      <c:valAx>
        <c:axId val="43604378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44011582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D0377-753D-451D-BE78-58E66557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44</Pages>
  <Words>11962</Words>
  <Characters>65797</Characters>
  <Application>Microsoft Office Word</Application>
  <DocSecurity>0</DocSecurity>
  <Lines>548</Lines>
  <Paragraphs>155</Paragraphs>
  <ScaleCrop>false</ScaleCrop>
  <HeadingPairs>
    <vt:vector size="6" baseType="variant">
      <vt:variant>
        <vt:lpstr>Title</vt:lpstr>
      </vt:variant>
      <vt:variant>
        <vt:i4>1</vt:i4>
      </vt:variant>
      <vt:variant>
        <vt:lpstr>Titlu</vt:lpstr>
      </vt:variant>
      <vt:variant>
        <vt:i4>1</vt:i4>
      </vt:variant>
      <vt:variant>
        <vt:lpstr>Titel</vt:lpstr>
      </vt:variant>
      <vt:variant>
        <vt:i4>1</vt:i4>
      </vt:variant>
    </vt:vector>
  </HeadingPairs>
  <TitlesOfParts>
    <vt:vector size="3" baseType="lpstr">
      <vt:lpstr/>
      <vt:lpstr/>
      <vt:lpstr/>
    </vt:vector>
  </TitlesOfParts>
  <Company>University of Leeds</Company>
  <LinksUpToDate>false</LinksUpToDate>
  <CharactersWithSpaces>77604</CharactersWithSpaces>
  <SharedDoc>false</SharedDoc>
  <HLinks>
    <vt:vector size="324" baseType="variant">
      <vt:variant>
        <vt:i4>6684749</vt:i4>
      </vt:variant>
      <vt:variant>
        <vt:i4>273</vt:i4>
      </vt:variant>
      <vt:variant>
        <vt:i4>0</vt:i4>
      </vt:variant>
      <vt:variant>
        <vt:i4>5</vt:i4>
      </vt:variant>
      <vt:variant>
        <vt:lpwstr>http://eur-lex.europa.eu/legal-content/EN/TXT/?uri=uriserv:OJ.L_.2013.347.01.0320.01.ENG</vt:lpwstr>
      </vt:variant>
      <vt:variant>
        <vt:lpwstr/>
      </vt:variant>
      <vt:variant>
        <vt:i4>1179704</vt:i4>
      </vt:variant>
      <vt:variant>
        <vt:i4>155</vt:i4>
      </vt:variant>
      <vt:variant>
        <vt:i4>0</vt:i4>
      </vt:variant>
      <vt:variant>
        <vt:i4>5</vt:i4>
      </vt:variant>
      <vt:variant>
        <vt:lpwstr/>
      </vt:variant>
      <vt:variant>
        <vt:lpwstr>_Toc454210926</vt:lpwstr>
      </vt:variant>
      <vt:variant>
        <vt:i4>1179704</vt:i4>
      </vt:variant>
      <vt:variant>
        <vt:i4>149</vt:i4>
      </vt:variant>
      <vt:variant>
        <vt:i4>0</vt:i4>
      </vt:variant>
      <vt:variant>
        <vt:i4>5</vt:i4>
      </vt:variant>
      <vt:variant>
        <vt:lpwstr/>
      </vt:variant>
      <vt:variant>
        <vt:lpwstr>_Toc454210925</vt:lpwstr>
      </vt:variant>
      <vt:variant>
        <vt:i4>1179704</vt:i4>
      </vt:variant>
      <vt:variant>
        <vt:i4>143</vt:i4>
      </vt:variant>
      <vt:variant>
        <vt:i4>0</vt:i4>
      </vt:variant>
      <vt:variant>
        <vt:i4>5</vt:i4>
      </vt:variant>
      <vt:variant>
        <vt:lpwstr/>
      </vt:variant>
      <vt:variant>
        <vt:lpwstr>_Toc454210924</vt:lpwstr>
      </vt:variant>
      <vt:variant>
        <vt:i4>1179704</vt:i4>
      </vt:variant>
      <vt:variant>
        <vt:i4>137</vt:i4>
      </vt:variant>
      <vt:variant>
        <vt:i4>0</vt:i4>
      </vt:variant>
      <vt:variant>
        <vt:i4>5</vt:i4>
      </vt:variant>
      <vt:variant>
        <vt:lpwstr/>
      </vt:variant>
      <vt:variant>
        <vt:lpwstr>_Toc454210923</vt:lpwstr>
      </vt:variant>
      <vt:variant>
        <vt:i4>1179704</vt:i4>
      </vt:variant>
      <vt:variant>
        <vt:i4>131</vt:i4>
      </vt:variant>
      <vt:variant>
        <vt:i4>0</vt:i4>
      </vt:variant>
      <vt:variant>
        <vt:i4>5</vt:i4>
      </vt:variant>
      <vt:variant>
        <vt:lpwstr/>
      </vt:variant>
      <vt:variant>
        <vt:lpwstr>_Toc454210922</vt:lpwstr>
      </vt:variant>
      <vt:variant>
        <vt:i4>1179704</vt:i4>
      </vt:variant>
      <vt:variant>
        <vt:i4>125</vt:i4>
      </vt:variant>
      <vt:variant>
        <vt:i4>0</vt:i4>
      </vt:variant>
      <vt:variant>
        <vt:i4>5</vt:i4>
      </vt:variant>
      <vt:variant>
        <vt:lpwstr/>
      </vt:variant>
      <vt:variant>
        <vt:lpwstr>_Toc454210921</vt:lpwstr>
      </vt:variant>
      <vt:variant>
        <vt:i4>1179704</vt:i4>
      </vt:variant>
      <vt:variant>
        <vt:i4>119</vt:i4>
      </vt:variant>
      <vt:variant>
        <vt:i4>0</vt:i4>
      </vt:variant>
      <vt:variant>
        <vt:i4>5</vt:i4>
      </vt:variant>
      <vt:variant>
        <vt:lpwstr/>
      </vt:variant>
      <vt:variant>
        <vt:lpwstr>_Toc454210920</vt:lpwstr>
      </vt:variant>
      <vt:variant>
        <vt:i4>1114168</vt:i4>
      </vt:variant>
      <vt:variant>
        <vt:i4>113</vt:i4>
      </vt:variant>
      <vt:variant>
        <vt:i4>0</vt:i4>
      </vt:variant>
      <vt:variant>
        <vt:i4>5</vt:i4>
      </vt:variant>
      <vt:variant>
        <vt:lpwstr/>
      </vt:variant>
      <vt:variant>
        <vt:lpwstr>_Toc454210919</vt:lpwstr>
      </vt:variant>
      <vt:variant>
        <vt:i4>1114168</vt:i4>
      </vt:variant>
      <vt:variant>
        <vt:i4>107</vt:i4>
      </vt:variant>
      <vt:variant>
        <vt:i4>0</vt:i4>
      </vt:variant>
      <vt:variant>
        <vt:i4>5</vt:i4>
      </vt:variant>
      <vt:variant>
        <vt:lpwstr/>
      </vt:variant>
      <vt:variant>
        <vt:lpwstr>_Toc454210918</vt:lpwstr>
      </vt:variant>
      <vt:variant>
        <vt:i4>1114168</vt:i4>
      </vt:variant>
      <vt:variant>
        <vt:i4>101</vt:i4>
      </vt:variant>
      <vt:variant>
        <vt:i4>0</vt:i4>
      </vt:variant>
      <vt:variant>
        <vt:i4>5</vt:i4>
      </vt:variant>
      <vt:variant>
        <vt:lpwstr/>
      </vt:variant>
      <vt:variant>
        <vt:lpwstr>_Toc454210917</vt:lpwstr>
      </vt:variant>
      <vt:variant>
        <vt:i4>1114168</vt:i4>
      </vt:variant>
      <vt:variant>
        <vt:i4>95</vt:i4>
      </vt:variant>
      <vt:variant>
        <vt:i4>0</vt:i4>
      </vt:variant>
      <vt:variant>
        <vt:i4>5</vt:i4>
      </vt:variant>
      <vt:variant>
        <vt:lpwstr/>
      </vt:variant>
      <vt:variant>
        <vt:lpwstr>_Toc454210916</vt:lpwstr>
      </vt:variant>
      <vt:variant>
        <vt:i4>1114168</vt:i4>
      </vt:variant>
      <vt:variant>
        <vt:i4>89</vt:i4>
      </vt:variant>
      <vt:variant>
        <vt:i4>0</vt:i4>
      </vt:variant>
      <vt:variant>
        <vt:i4>5</vt:i4>
      </vt:variant>
      <vt:variant>
        <vt:lpwstr/>
      </vt:variant>
      <vt:variant>
        <vt:lpwstr>_Toc454210915</vt:lpwstr>
      </vt:variant>
      <vt:variant>
        <vt:i4>1114168</vt:i4>
      </vt:variant>
      <vt:variant>
        <vt:i4>83</vt:i4>
      </vt:variant>
      <vt:variant>
        <vt:i4>0</vt:i4>
      </vt:variant>
      <vt:variant>
        <vt:i4>5</vt:i4>
      </vt:variant>
      <vt:variant>
        <vt:lpwstr/>
      </vt:variant>
      <vt:variant>
        <vt:lpwstr>_Toc454210914</vt:lpwstr>
      </vt:variant>
      <vt:variant>
        <vt:i4>1114168</vt:i4>
      </vt:variant>
      <vt:variant>
        <vt:i4>77</vt:i4>
      </vt:variant>
      <vt:variant>
        <vt:i4>0</vt:i4>
      </vt:variant>
      <vt:variant>
        <vt:i4>5</vt:i4>
      </vt:variant>
      <vt:variant>
        <vt:lpwstr/>
      </vt:variant>
      <vt:variant>
        <vt:lpwstr>_Toc454210913</vt:lpwstr>
      </vt:variant>
      <vt:variant>
        <vt:i4>1114168</vt:i4>
      </vt:variant>
      <vt:variant>
        <vt:i4>71</vt:i4>
      </vt:variant>
      <vt:variant>
        <vt:i4>0</vt:i4>
      </vt:variant>
      <vt:variant>
        <vt:i4>5</vt:i4>
      </vt:variant>
      <vt:variant>
        <vt:lpwstr/>
      </vt:variant>
      <vt:variant>
        <vt:lpwstr>_Toc454210912</vt:lpwstr>
      </vt:variant>
      <vt:variant>
        <vt:i4>1114168</vt:i4>
      </vt:variant>
      <vt:variant>
        <vt:i4>65</vt:i4>
      </vt:variant>
      <vt:variant>
        <vt:i4>0</vt:i4>
      </vt:variant>
      <vt:variant>
        <vt:i4>5</vt:i4>
      </vt:variant>
      <vt:variant>
        <vt:lpwstr/>
      </vt:variant>
      <vt:variant>
        <vt:lpwstr>_Toc454210911</vt:lpwstr>
      </vt:variant>
      <vt:variant>
        <vt:i4>1114168</vt:i4>
      </vt:variant>
      <vt:variant>
        <vt:i4>59</vt:i4>
      </vt:variant>
      <vt:variant>
        <vt:i4>0</vt:i4>
      </vt:variant>
      <vt:variant>
        <vt:i4>5</vt:i4>
      </vt:variant>
      <vt:variant>
        <vt:lpwstr/>
      </vt:variant>
      <vt:variant>
        <vt:lpwstr>_Toc454210910</vt:lpwstr>
      </vt:variant>
      <vt:variant>
        <vt:i4>1048632</vt:i4>
      </vt:variant>
      <vt:variant>
        <vt:i4>53</vt:i4>
      </vt:variant>
      <vt:variant>
        <vt:i4>0</vt:i4>
      </vt:variant>
      <vt:variant>
        <vt:i4>5</vt:i4>
      </vt:variant>
      <vt:variant>
        <vt:lpwstr/>
      </vt:variant>
      <vt:variant>
        <vt:lpwstr>_Toc454210909</vt:lpwstr>
      </vt:variant>
      <vt:variant>
        <vt:i4>1048632</vt:i4>
      </vt:variant>
      <vt:variant>
        <vt:i4>47</vt:i4>
      </vt:variant>
      <vt:variant>
        <vt:i4>0</vt:i4>
      </vt:variant>
      <vt:variant>
        <vt:i4>5</vt:i4>
      </vt:variant>
      <vt:variant>
        <vt:lpwstr/>
      </vt:variant>
      <vt:variant>
        <vt:lpwstr>_Toc454210908</vt:lpwstr>
      </vt:variant>
      <vt:variant>
        <vt:i4>1048632</vt:i4>
      </vt:variant>
      <vt:variant>
        <vt:i4>41</vt:i4>
      </vt:variant>
      <vt:variant>
        <vt:i4>0</vt:i4>
      </vt:variant>
      <vt:variant>
        <vt:i4>5</vt:i4>
      </vt:variant>
      <vt:variant>
        <vt:lpwstr/>
      </vt:variant>
      <vt:variant>
        <vt:lpwstr>_Toc454210907</vt:lpwstr>
      </vt:variant>
      <vt:variant>
        <vt:i4>1048632</vt:i4>
      </vt:variant>
      <vt:variant>
        <vt:i4>35</vt:i4>
      </vt:variant>
      <vt:variant>
        <vt:i4>0</vt:i4>
      </vt:variant>
      <vt:variant>
        <vt:i4>5</vt:i4>
      </vt:variant>
      <vt:variant>
        <vt:lpwstr/>
      </vt:variant>
      <vt:variant>
        <vt:lpwstr>_Toc454210906</vt:lpwstr>
      </vt:variant>
      <vt:variant>
        <vt:i4>1048632</vt:i4>
      </vt:variant>
      <vt:variant>
        <vt:i4>29</vt:i4>
      </vt:variant>
      <vt:variant>
        <vt:i4>0</vt:i4>
      </vt:variant>
      <vt:variant>
        <vt:i4>5</vt:i4>
      </vt:variant>
      <vt:variant>
        <vt:lpwstr/>
      </vt:variant>
      <vt:variant>
        <vt:lpwstr>_Toc454210905</vt:lpwstr>
      </vt:variant>
      <vt:variant>
        <vt:i4>1048632</vt:i4>
      </vt:variant>
      <vt:variant>
        <vt:i4>23</vt:i4>
      </vt:variant>
      <vt:variant>
        <vt:i4>0</vt:i4>
      </vt:variant>
      <vt:variant>
        <vt:i4>5</vt:i4>
      </vt:variant>
      <vt:variant>
        <vt:lpwstr/>
      </vt:variant>
      <vt:variant>
        <vt:lpwstr>_Toc454210904</vt:lpwstr>
      </vt:variant>
      <vt:variant>
        <vt:i4>1048632</vt:i4>
      </vt:variant>
      <vt:variant>
        <vt:i4>17</vt:i4>
      </vt:variant>
      <vt:variant>
        <vt:i4>0</vt:i4>
      </vt:variant>
      <vt:variant>
        <vt:i4>5</vt:i4>
      </vt:variant>
      <vt:variant>
        <vt:lpwstr/>
      </vt:variant>
      <vt:variant>
        <vt:lpwstr>_Toc454210903</vt:lpwstr>
      </vt:variant>
      <vt:variant>
        <vt:i4>1048632</vt:i4>
      </vt:variant>
      <vt:variant>
        <vt:i4>11</vt:i4>
      </vt:variant>
      <vt:variant>
        <vt:i4>0</vt:i4>
      </vt:variant>
      <vt:variant>
        <vt:i4>5</vt:i4>
      </vt:variant>
      <vt:variant>
        <vt:lpwstr/>
      </vt:variant>
      <vt:variant>
        <vt:lpwstr>_Toc454210902</vt:lpwstr>
      </vt:variant>
      <vt:variant>
        <vt:i4>1048632</vt:i4>
      </vt:variant>
      <vt:variant>
        <vt:i4>5</vt:i4>
      </vt:variant>
      <vt:variant>
        <vt:i4>0</vt:i4>
      </vt:variant>
      <vt:variant>
        <vt:i4>5</vt:i4>
      </vt:variant>
      <vt:variant>
        <vt:lpwstr/>
      </vt:variant>
      <vt:variant>
        <vt:lpwstr>_Toc454210901</vt:lpwstr>
      </vt:variant>
      <vt:variant>
        <vt:i4>917588</vt:i4>
      </vt:variant>
      <vt:variant>
        <vt:i4>0</vt:i4>
      </vt:variant>
      <vt:variant>
        <vt:i4>0</vt:i4>
      </vt:variant>
      <vt:variant>
        <vt:i4>5</vt:i4>
      </vt:variant>
      <vt:variant>
        <vt:lpwstr>http://disability-europe.net/</vt:lpwstr>
      </vt:variant>
      <vt:variant>
        <vt:lpwstr/>
      </vt:variant>
      <vt:variant>
        <vt:i4>2687028</vt:i4>
      </vt:variant>
      <vt:variant>
        <vt:i4>78</vt:i4>
      </vt:variant>
      <vt:variant>
        <vt:i4>0</vt:i4>
      </vt:variant>
      <vt:variant>
        <vt:i4>5</vt:i4>
      </vt:variant>
      <vt:variant>
        <vt:lpwstr>http://www.fonduri-ue.ro/apeluri/details/2/31/apeluri-4-1-dezvoltare-local%C4%83-integrat%C4%83-dli-360-grade-%C3%AEn-comunit%C4%83%C8%9Bile-marginalizate-%C3%AEn-care-exist%C4%83-popula%C8%9Bie-apar%C8%9Bin%C3%A2nd-minorit%C4%83%C8%9Bii-rome-regiuni-mai-pu%C8%9Bin-dezvoltate?start=20</vt:lpwstr>
      </vt:variant>
      <vt:variant>
        <vt:lpwstr/>
      </vt:variant>
      <vt:variant>
        <vt:i4>3211301</vt:i4>
      </vt:variant>
      <vt:variant>
        <vt:i4>72</vt:i4>
      </vt:variant>
      <vt:variant>
        <vt:i4>0</vt:i4>
      </vt:variant>
      <vt:variant>
        <vt:i4>5</vt:i4>
      </vt:variant>
      <vt:variant>
        <vt:lpwstr>http://www.fonduri-ue.ro/pocu-2014</vt:lpwstr>
      </vt:variant>
      <vt:variant>
        <vt:lpwstr/>
      </vt:variant>
      <vt:variant>
        <vt:i4>68</vt:i4>
      </vt:variant>
      <vt:variant>
        <vt:i4>66</vt:i4>
      </vt:variant>
      <vt:variant>
        <vt:i4>0</vt:i4>
      </vt:variant>
      <vt:variant>
        <vt:i4>5</vt:i4>
      </vt:variant>
      <vt:variant>
        <vt:lpwstr>http://www.fonduri-ue.ro/res/filepicker_users/cd25a597fd-62/2014-2020/acord-parteneriat/Partnership_Agreement_2014RO16M8PA001_1_2_ro.pdf</vt:lpwstr>
      </vt:variant>
      <vt:variant>
        <vt:lpwstr/>
      </vt:variant>
      <vt:variant>
        <vt:i4>2359364</vt:i4>
      </vt:variant>
      <vt:variant>
        <vt:i4>63</vt:i4>
      </vt:variant>
      <vt:variant>
        <vt:i4>0</vt:i4>
      </vt:variant>
      <vt:variant>
        <vt:i4>5</vt:i4>
      </vt:variant>
      <vt:variant>
        <vt:lpwstr>http://ec.europa.eu/regional_policy/sources/docgener/informat/2014/eac_guidance_esif_part2_en.pdf</vt:lpwstr>
      </vt:variant>
      <vt:variant>
        <vt:lpwstr/>
      </vt:variant>
      <vt:variant>
        <vt:i4>3538956</vt:i4>
      </vt:variant>
      <vt:variant>
        <vt:i4>54</vt:i4>
      </vt:variant>
      <vt:variant>
        <vt:i4>0</vt:i4>
      </vt:variant>
      <vt:variant>
        <vt:i4>5</vt:i4>
      </vt:variant>
      <vt:variant>
        <vt:lpwstr>http://www.fonduri-ue.ro/images/files/implementare-absorbtie/Anexa_1-Stadiul_absorbtiei_pentru_Programele_Operationale_la_31.07.2016.pdf</vt:lpwstr>
      </vt:variant>
      <vt:variant>
        <vt:lpwstr/>
      </vt:variant>
      <vt:variant>
        <vt:i4>196619</vt:i4>
      </vt:variant>
      <vt:variant>
        <vt:i4>51</vt:i4>
      </vt:variant>
      <vt:variant>
        <vt:i4>0</vt:i4>
      </vt:variant>
      <vt:variant>
        <vt:i4>5</vt:i4>
      </vt:variant>
      <vt:variant>
        <vt:lpwstr>http://www.mmuncii.ro/j33/index.php/ro/2014-domenii/protectie-sociala/ppd</vt:lpwstr>
      </vt:variant>
      <vt:variant>
        <vt:lpwstr/>
      </vt:variant>
      <vt:variant>
        <vt:i4>4456524</vt:i4>
      </vt:variant>
      <vt:variant>
        <vt:i4>48</vt:i4>
      </vt:variant>
      <vt:variant>
        <vt:i4>0</vt:i4>
      </vt:variant>
      <vt:variant>
        <vt:i4>5</vt:i4>
      </vt:variant>
      <vt:variant>
        <vt:lpwstr>http://www.agerpres.ro/ots/2016/08/08/impozitul-aplicat-pe-cota-parte-din-proprietate-afecteaza-persoanele-cu-dizabilitati-si-familiile-lor-11-36-06</vt:lpwstr>
      </vt:variant>
      <vt:variant>
        <vt:lpwstr/>
      </vt:variant>
      <vt:variant>
        <vt:i4>5242886</vt:i4>
      </vt:variant>
      <vt:variant>
        <vt:i4>45</vt:i4>
      </vt:variant>
      <vt:variant>
        <vt:i4>0</vt:i4>
      </vt:variant>
      <vt:variant>
        <vt:i4>5</vt:i4>
      </vt:variant>
      <vt:variant>
        <vt:lpwstr>http://www.motivation.ro/uploads/studii SAR/Diagnostic exclus de pe piata muncii.pdf</vt:lpwstr>
      </vt:variant>
      <vt:variant>
        <vt:lpwstr/>
      </vt:variant>
      <vt:variant>
        <vt:i4>2818162</vt:i4>
      </vt:variant>
      <vt:variant>
        <vt:i4>42</vt:i4>
      </vt:variant>
      <vt:variant>
        <vt:i4>0</vt:i4>
      </vt:variant>
      <vt:variant>
        <vt:i4>5</vt:i4>
      </vt:variant>
      <vt:variant>
        <vt:lpwstr>http://www.mmuncii.ro/j33/images/Documente/Transparenta/Dezbateri_publice/2015-04-17_Anexa1_ProiectHG_SIS.pdf</vt:lpwstr>
      </vt:variant>
      <vt:variant>
        <vt:lpwstr/>
      </vt:variant>
      <vt:variant>
        <vt:i4>3145844</vt:i4>
      </vt:variant>
      <vt:variant>
        <vt:i4>39</vt:i4>
      </vt:variant>
      <vt:variant>
        <vt:i4>0</vt:i4>
      </vt:variant>
      <vt:variant>
        <vt:i4>5</vt:i4>
      </vt:variant>
      <vt:variant>
        <vt:lpwstr>http://stiri.tvr.ro/izolatiprintrenoi.html</vt:lpwstr>
      </vt:variant>
      <vt:variant>
        <vt:lpwstr/>
      </vt:variant>
      <vt:variant>
        <vt:i4>5570647</vt:i4>
      </vt:variant>
      <vt:variant>
        <vt:i4>36</vt:i4>
      </vt:variant>
      <vt:variant>
        <vt:i4>0</vt:i4>
      </vt:variant>
      <vt:variant>
        <vt:i4>5</vt:i4>
      </vt:variant>
      <vt:variant>
        <vt:lpwstr>http://www.cedcd.ro/100-milioane-euroan-costul-izolarii-copiilor-cu-dizabilitati/</vt:lpwstr>
      </vt:variant>
      <vt:variant>
        <vt:lpwstr/>
      </vt:variant>
      <vt:variant>
        <vt:i4>4390989</vt:i4>
      </vt:variant>
      <vt:variant>
        <vt:i4>33</vt:i4>
      </vt:variant>
      <vt:variant>
        <vt:i4>0</vt:i4>
      </vt:variant>
      <vt:variant>
        <vt:i4>5</vt:i4>
      </vt:variant>
      <vt:variant>
        <vt:lpwstr>http://anpd.gov.ro/web/transparenta/statistici/trimestriale/</vt:lpwstr>
      </vt:variant>
      <vt:variant>
        <vt:lpwstr/>
      </vt:variant>
      <vt:variant>
        <vt:i4>1114238</vt:i4>
      </vt:variant>
      <vt:variant>
        <vt:i4>30</vt:i4>
      </vt:variant>
      <vt:variant>
        <vt:i4>0</vt:i4>
      </vt:variant>
      <vt:variant>
        <vt:i4>5</vt:i4>
      </vt:variant>
      <vt:variant>
        <vt:lpwstr>http://www.mmuncii.ro/j33/images/Documente/Proiecte_in_dezbatere/2014/2014-12-29-HG_Anexa-SN-DPPD.pdf</vt:lpwstr>
      </vt:variant>
      <vt:variant>
        <vt:lpwstr/>
      </vt:variant>
      <vt:variant>
        <vt:i4>3866680</vt:i4>
      </vt:variant>
      <vt:variant>
        <vt:i4>27</vt:i4>
      </vt:variant>
      <vt:variant>
        <vt:i4>0</vt:i4>
      </vt:variant>
      <vt:variant>
        <vt:i4>5</vt:i4>
      </vt:variant>
      <vt:variant>
        <vt:lpwstr>http://www.ipp.ro/wp-content/uploads/2015/07/IPP_Funda%C8%9Bia-Speran%C8%9Ba-_Raport-educatie-incluziva-pentru-copiii-cu-dizabilitati.pdf</vt:lpwstr>
      </vt:variant>
      <vt:variant>
        <vt:lpwstr/>
      </vt:variant>
      <vt:variant>
        <vt:i4>7340045</vt:i4>
      </vt:variant>
      <vt:variant>
        <vt:i4>24</vt:i4>
      </vt:variant>
      <vt:variant>
        <vt:i4>0</vt:i4>
      </vt:variant>
      <vt:variant>
        <vt:i4>5</vt:i4>
      </vt:variant>
      <vt:variant>
        <vt:lpwstr>http://appsso.eurostat.ec.europa.eu/nui/show.do?dataset=hlth_de020&amp;lang=en</vt:lpwstr>
      </vt:variant>
      <vt:variant>
        <vt:lpwstr/>
      </vt:variant>
      <vt:variant>
        <vt:i4>7340046</vt:i4>
      </vt:variant>
      <vt:variant>
        <vt:i4>21</vt:i4>
      </vt:variant>
      <vt:variant>
        <vt:i4>0</vt:i4>
      </vt:variant>
      <vt:variant>
        <vt:i4>5</vt:i4>
      </vt:variant>
      <vt:variant>
        <vt:lpwstr>http://appsso.eurostat.ec.europa.eu/nui/show.do?dataset=hlth_de010&amp;lang=en</vt:lpwstr>
      </vt:variant>
      <vt:variant>
        <vt:lpwstr/>
      </vt:variant>
      <vt:variant>
        <vt:i4>6684798</vt:i4>
      </vt:variant>
      <vt:variant>
        <vt:i4>18</vt:i4>
      </vt:variant>
      <vt:variant>
        <vt:i4>0</vt:i4>
      </vt:variant>
      <vt:variant>
        <vt:i4>5</vt:i4>
      </vt:variant>
      <vt:variant>
        <vt:lpwstr>http://anpd.gov.ro/web/informatii-publice/lista-unitati-protejate/</vt:lpwstr>
      </vt:variant>
      <vt:variant>
        <vt:lpwstr/>
      </vt:variant>
      <vt:variant>
        <vt:i4>7733375</vt:i4>
      </vt:variant>
      <vt:variant>
        <vt:i4>15</vt:i4>
      </vt:variant>
      <vt:variant>
        <vt:i4>0</vt:i4>
      </vt:variant>
      <vt:variant>
        <vt:i4>5</vt:i4>
      </vt:variant>
      <vt:variant>
        <vt:lpwstr>http://anpd.gov.ro/web/statistici/trimestriale/</vt:lpwstr>
      </vt:variant>
      <vt:variant>
        <vt:lpwstr/>
      </vt:variant>
      <vt:variant>
        <vt:i4>1179735</vt:i4>
      </vt:variant>
      <vt:variant>
        <vt:i4>9</vt:i4>
      </vt:variant>
      <vt:variant>
        <vt:i4>0</vt:i4>
      </vt:variant>
      <vt:variant>
        <vt:i4>5</vt:i4>
      </vt:variant>
      <vt:variant>
        <vt:lpwstr>http://www.disability-europe.net/theme/statistical-indicators</vt:lpwstr>
      </vt:variant>
      <vt:variant>
        <vt:lpwstr/>
      </vt:variant>
      <vt:variant>
        <vt:i4>393248</vt:i4>
      </vt:variant>
      <vt:variant>
        <vt:i4>6</vt:i4>
      </vt:variant>
      <vt:variant>
        <vt:i4>0</vt:i4>
      </vt:variant>
      <vt:variant>
        <vt:i4>5</vt:i4>
      </vt:variant>
      <vt:variant>
        <vt:lpwstr>http://epp.eurostat.ec.europa.eu/statistics_explained/index.php/Glossary:Minimum_European_Health_Module_(MEHM)</vt:lpwstr>
      </vt:variant>
      <vt:variant>
        <vt:lpwstr/>
      </vt:variant>
      <vt:variant>
        <vt:i4>3604537</vt:i4>
      </vt:variant>
      <vt:variant>
        <vt:i4>3</vt:i4>
      </vt:variant>
      <vt:variant>
        <vt:i4>0</vt:i4>
      </vt:variant>
      <vt:variant>
        <vt:i4>5</vt:i4>
      </vt:variant>
      <vt:variant>
        <vt:lpwstr>http://www.mmuncii.ro/j33/index.php/ro/transparenta/proiecte-in-dezbatere/4076-2015-10-08-proiecthg-strateg-diz</vt:lpwstr>
      </vt:variant>
      <vt:variant>
        <vt:lpwstr/>
      </vt:variant>
      <vt:variant>
        <vt:i4>458854</vt:i4>
      </vt:variant>
      <vt:variant>
        <vt:i4>0</vt:i4>
      </vt:variant>
      <vt:variant>
        <vt:i4>0</vt:i4>
      </vt:variant>
      <vt:variant>
        <vt:i4>5</vt:i4>
      </vt:variant>
      <vt:variant>
        <vt:lpwstr>http://ec.europa.eu/europe2020/pdf/targets_en.pdf</vt:lpwstr>
      </vt:variant>
      <vt:variant>
        <vt:lpwstr/>
      </vt:variant>
      <vt:variant>
        <vt:i4>5242945</vt:i4>
      </vt:variant>
      <vt:variant>
        <vt:i4>9</vt:i4>
      </vt:variant>
      <vt:variant>
        <vt:i4>0</vt:i4>
      </vt:variant>
      <vt:variant>
        <vt:i4>5</vt:i4>
      </vt:variant>
      <vt:variant>
        <vt:lpwstr>http://ec.europa.eu/europe2020/pdf/csr2016/cr2016_romania_en.pdf</vt:lpwstr>
      </vt:variant>
      <vt:variant>
        <vt:lpwstr/>
      </vt:variant>
      <vt:variant>
        <vt:i4>458755</vt:i4>
      </vt:variant>
      <vt:variant>
        <vt:i4>6</vt:i4>
      </vt:variant>
      <vt:variant>
        <vt:i4>0</vt:i4>
      </vt:variant>
      <vt:variant>
        <vt:i4>5</vt:i4>
      </vt:variant>
      <vt:variant>
        <vt:lpwstr>http://ec.europa.eu/europe2020/pdf/csr2016/csr2016_romania_en.pdf</vt:lpwstr>
      </vt:variant>
      <vt:variant>
        <vt:lpwstr/>
      </vt:variant>
      <vt:variant>
        <vt:i4>524290</vt:i4>
      </vt:variant>
      <vt:variant>
        <vt:i4>3</vt:i4>
      </vt:variant>
      <vt:variant>
        <vt:i4>0</vt:i4>
      </vt:variant>
      <vt:variant>
        <vt:i4>5</vt:i4>
      </vt:variant>
      <vt:variant>
        <vt:lpwstr>http://ec.europa.eu/europe2020/pdf/csr2016/nrp2016_romania_en.pdf</vt:lpwstr>
      </vt:variant>
      <vt:variant>
        <vt:lpwstr/>
      </vt:variant>
      <vt:variant>
        <vt:i4>5898360</vt:i4>
      </vt:variant>
      <vt:variant>
        <vt:i4>0</vt:i4>
      </vt:variant>
      <vt:variant>
        <vt:i4>0</vt:i4>
      </vt:variant>
      <vt:variant>
        <vt:i4>5</vt:i4>
      </vt:variant>
      <vt:variant>
        <vt:lpwstr>http://ec.europa.eu/europe2020/making-it-happen/country-specific-recommendations/index_en.htm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Priestley</dc:creator>
  <cp:keywords/>
  <dc:description/>
  <cp:lastModifiedBy>Rebecca van Midden</cp:lastModifiedBy>
  <cp:revision>5</cp:revision>
  <cp:lastPrinted>2015-09-17T10:54:00Z</cp:lastPrinted>
  <dcterms:created xsi:type="dcterms:W3CDTF">2018-03-07T14:57:00Z</dcterms:created>
  <dcterms:modified xsi:type="dcterms:W3CDTF">2018-04-09T11:36:00Z</dcterms:modified>
</cp:coreProperties>
</file>